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5B" w:rsidRPr="00B96811" w:rsidRDefault="006D6B5B" w:rsidP="008E61D5">
      <w:pPr>
        <w:pStyle w:val="Heading2"/>
      </w:pPr>
      <w:r>
        <w:t>5.3</w:t>
      </w:r>
      <w:r w:rsidRPr="00B96811">
        <w:t>.</w:t>
      </w:r>
      <w:r>
        <w:t xml:space="preserve"> Sheet</w:t>
      </w:r>
      <w:r w:rsidRPr="00B96811">
        <w:t xml:space="preserve"> </w:t>
      </w:r>
      <w:r w:rsidRPr="008E61D5">
        <w:rPr>
          <w:rStyle w:val="Style1Char"/>
          <w:b/>
        </w:rPr>
        <w:t>CAPEX</w:t>
      </w:r>
      <w:r w:rsidR="004B24BD" w:rsidRPr="008E61D5">
        <w:rPr>
          <w:rStyle w:val="Style1Char"/>
          <w:b/>
        </w:rPr>
        <w:t>-1</w:t>
      </w:r>
      <w:r>
        <w:t xml:space="preserve">, </w:t>
      </w:r>
      <w:r w:rsidR="004B24BD">
        <w:t xml:space="preserve">Planned </w:t>
      </w:r>
      <w:r>
        <w:t>CAPEX Program Details</w:t>
      </w:r>
    </w:p>
    <w:p w:rsidR="006D6B5B" w:rsidRDefault="006D6B5B" w:rsidP="006D6B5B">
      <w:pPr>
        <w:tabs>
          <w:tab w:val="left" w:pos="3540"/>
        </w:tabs>
        <w:rPr>
          <w:rFonts w:cs="Arial"/>
          <w:lang w:val="en-GB"/>
        </w:rPr>
      </w:pPr>
    </w:p>
    <w:p w:rsidR="006D6B5B" w:rsidRDefault="006D6B5B" w:rsidP="006D6B5B">
      <w:pPr>
        <w:tabs>
          <w:tab w:val="left" w:pos="3540"/>
        </w:tabs>
        <w:rPr>
          <w:rFonts w:cs="Arial"/>
          <w:lang w:val="en-GB"/>
        </w:rPr>
      </w:pPr>
      <w:r>
        <w:rPr>
          <w:rFonts w:cs="Arial"/>
          <w:lang w:val="en-GB"/>
        </w:rPr>
        <w:t>The table should contain information on Capital Expenditure projects that are yet to be implemented, whether or not filed with ERC.</w:t>
      </w:r>
    </w:p>
    <w:p w:rsidR="00C94219" w:rsidRDefault="004B24BD" w:rsidP="006D6B5B">
      <w:pPr>
        <w:tabs>
          <w:tab w:val="left" w:pos="3540"/>
        </w:tabs>
        <w:rPr>
          <w:rFonts w:cs="Arial"/>
          <w:lang w:val="en-GB"/>
        </w:rPr>
      </w:pPr>
      <w:r>
        <w:rPr>
          <w:rFonts w:cs="Arial"/>
          <w:lang w:val="en-GB"/>
        </w:rPr>
        <w:tab/>
      </w:r>
    </w:p>
    <w:p w:rsidR="006D6B5B" w:rsidRDefault="006D6B5B" w:rsidP="006D6B5B">
      <w:pPr>
        <w:tabs>
          <w:tab w:val="left" w:pos="3540"/>
        </w:tabs>
        <w:rPr>
          <w:rFonts w:cs="Arial"/>
          <w:lang w:val="en-GB"/>
        </w:rPr>
      </w:pPr>
      <w:r>
        <w:rPr>
          <w:rFonts w:cs="Arial"/>
          <w:lang w:val="en-GB"/>
        </w:rPr>
        <w:t>The input fields are as follows:</w:t>
      </w:r>
    </w:p>
    <w:p w:rsidR="006D6B5B" w:rsidRDefault="006D6B5B" w:rsidP="006D6B5B">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6D6B5B" w:rsidRPr="007A74CC" w:rsidTr="00C02F72">
        <w:trPr>
          <w:cantSplit/>
          <w:tblHeader/>
        </w:trPr>
        <w:tc>
          <w:tcPr>
            <w:tcW w:w="3775" w:type="dxa"/>
            <w:shd w:val="clear" w:color="auto" w:fill="FFFF00"/>
          </w:tcPr>
          <w:p w:rsidR="006D6B5B" w:rsidRPr="007A74CC" w:rsidRDefault="006D6B5B" w:rsidP="00E00766">
            <w:pPr>
              <w:tabs>
                <w:tab w:val="left" w:pos="3540"/>
              </w:tabs>
              <w:jc w:val="center"/>
              <w:rPr>
                <w:rFonts w:cs="Arial"/>
                <w:b/>
                <w:lang w:val="en-GB"/>
              </w:rPr>
            </w:pPr>
            <w:r w:rsidRPr="007A74CC">
              <w:rPr>
                <w:rFonts w:cs="Arial"/>
                <w:b/>
                <w:lang w:val="en-GB"/>
              </w:rPr>
              <w:t>Input Field</w:t>
            </w:r>
          </w:p>
        </w:tc>
        <w:tc>
          <w:tcPr>
            <w:tcW w:w="5244" w:type="dxa"/>
            <w:shd w:val="clear" w:color="auto" w:fill="FFFF00"/>
          </w:tcPr>
          <w:p w:rsidR="006D6B5B" w:rsidRPr="007A74CC" w:rsidRDefault="006D6B5B" w:rsidP="00E00766">
            <w:pPr>
              <w:tabs>
                <w:tab w:val="left" w:pos="1785"/>
              </w:tabs>
              <w:jc w:val="center"/>
              <w:rPr>
                <w:rFonts w:cs="Arial"/>
                <w:b/>
                <w:lang w:val="en-GB"/>
              </w:rPr>
            </w:pPr>
            <w:r>
              <w:rPr>
                <w:rFonts w:cs="Arial"/>
                <w:b/>
                <w:lang w:val="en-GB"/>
              </w:rPr>
              <w:t>Description</w:t>
            </w:r>
          </w:p>
        </w:tc>
      </w:tr>
      <w:tr w:rsidR="006D6B5B" w:rsidTr="00E00766">
        <w:tc>
          <w:tcPr>
            <w:tcW w:w="3775" w:type="dxa"/>
          </w:tcPr>
          <w:p w:rsidR="006D6B5B" w:rsidRDefault="006D6B5B" w:rsidP="00E00766">
            <w:pPr>
              <w:pStyle w:val="Style1"/>
            </w:pPr>
            <w:r>
              <w:t>Type</w:t>
            </w:r>
          </w:p>
        </w:tc>
        <w:tc>
          <w:tcPr>
            <w:tcW w:w="5244" w:type="dxa"/>
          </w:tcPr>
          <w:p w:rsidR="006D6B5B" w:rsidRDefault="006D6B5B" w:rsidP="006D6B5B">
            <w:pPr>
              <w:tabs>
                <w:tab w:val="left" w:pos="3540"/>
              </w:tabs>
              <w:rPr>
                <w:rFonts w:cs="Arial"/>
                <w:lang w:val="en-GB"/>
              </w:rPr>
            </w:pPr>
            <w:r>
              <w:rPr>
                <w:rFonts w:cs="Arial"/>
                <w:lang w:val="en-GB"/>
              </w:rPr>
              <w:t>Constrained to list</w:t>
            </w:r>
          </w:p>
        </w:tc>
      </w:tr>
      <w:tr w:rsidR="006D6B5B" w:rsidTr="00E00766">
        <w:tc>
          <w:tcPr>
            <w:tcW w:w="3775" w:type="dxa"/>
          </w:tcPr>
          <w:p w:rsidR="006D6B5B" w:rsidRDefault="006D6B5B" w:rsidP="00E00766">
            <w:pPr>
              <w:pStyle w:val="Style1"/>
            </w:pPr>
            <w:r>
              <w:t>Category</w:t>
            </w:r>
          </w:p>
        </w:tc>
        <w:tc>
          <w:tcPr>
            <w:tcW w:w="5244" w:type="dxa"/>
          </w:tcPr>
          <w:p w:rsidR="006D6B5B" w:rsidRDefault="006D6B5B" w:rsidP="00E00766">
            <w:pPr>
              <w:tabs>
                <w:tab w:val="left" w:pos="3540"/>
              </w:tabs>
              <w:rPr>
                <w:rFonts w:cs="Arial"/>
                <w:lang w:val="en-GB"/>
              </w:rPr>
            </w:pPr>
            <w:r>
              <w:rPr>
                <w:rFonts w:cs="Arial"/>
                <w:lang w:val="en-GB"/>
              </w:rPr>
              <w:t>Constrained to list</w:t>
            </w:r>
          </w:p>
        </w:tc>
      </w:tr>
      <w:tr w:rsidR="006D6B5B" w:rsidTr="00E00766">
        <w:tc>
          <w:tcPr>
            <w:tcW w:w="3775" w:type="dxa"/>
          </w:tcPr>
          <w:p w:rsidR="006D6B5B" w:rsidRDefault="006D6B5B" w:rsidP="00E00766">
            <w:pPr>
              <w:pStyle w:val="Style1"/>
            </w:pPr>
            <w:r>
              <w:t>Name</w:t>
            </w:r>
          </w:p>
        </w:tc>
        <w:tc>
          <w:tcPr>
            <w:tcW w:w="5244" w:type="dxa"/>
          </w:tcPr>
          <w:p w:rsidR="00E00766" w:rsidRDefault="00E00766" w:rsidP="00E00766">
            <w:pPr>
              <w:tabs>
                <w:tab w:val="left" w:pos="3540"/>
              </w:tabs>
              <w:rPr>
                <w:rFonts w:cs="Arial"/>
                <w:lang w:val="en-GB"/>
              </w:rPr>
            </w:pPr>
            <w:r>
              <w:rPr>
                <w:rFonts w:cs="Arial"/>
                <w:lang w:val="en-GB"/>
              </w:rPr>
              <w:t>Name of project</w:t>
            </w:r>
          </w:p>
        </w:tc>
      </w:tr>
      <w:tr w:rsidR="006D6B5B" w:rsidTr="00E00766">
        <w:tc>
          <w:tcPr>
            <w:tcW w:w="3775" w:type="dxa"/>
          </w:tcPr>
          <w:p w:rsidR="006D6B5B" w:rsidRDefault="006D6B5B" w:rsidP="00E00766">
            <w:pPr>
              <w:pStyle w:val="Style1"/>
            </w:pPr>
            <w:r>
              <w:t>Description</w:t>
            </w:r>
          </w:p>
        </w:tc>
        <w:tc>
          <w:tcPr>
            <w:tcW w:w="5244" w:type="dxa"/>
          </w:tcPr>
          <w:p w:rsidR="006D6B5B" w:rsidRDefault="00E00766" w:rsidP="00B16E8A">
            <w:pPr>
              <w:tabs>
                <w:tab w:val="left" w:pos="3540"/>
              </w:tabs>
              <w:rPr>
                <w:rFonts w:cs="Arial"/>
                <w:lang w:val="en-GB"/>
              </w:rPr>
            </w:pPr>
            <w:r>
              <w:rPr>
                <w:rFonts w:cs="Arial"/>
                <w:lang w:val="en-GB"/>
              </w:rPr>
              <w:t>Brief description</w:t>
            </w:r>
            <w:r w:rsidR="00B16E8A">
              <w:rPr>
                <w:rFonts w:cs="Arial"/>
                <w:lang w:val="en-GB"/>
              </w:rPr>
              <w:t>; limit to 200 characters</w:t>
            </w:r>
            <w:r w:rsidR="00045EE4">
              <w:rPr>
                <w:rFonts w:cs="Arial"/>
                <w:lang w:val="en-GB"/>
              </w:rPr>
              <w:t xml:space="preserve"> if possible</w:t>
            </w:r>
          </w:p>
        </w:tc>
      </w:tr>
      <w:tr w:rsidR="006D6B5B" w:rsidTr="00E00766">
        <w:tc>
          <w:tcPr>
            <w:tcW w:w="3775" w:type="dxa"/>
          </w:tcPr>
          <w:p w:rsidR="006D6B5B" w:rsidRDefault="006D6B5B" w:rsidP="00E00766">
            <w:pPr>
              <w:pStyle w:val="Style1"/>
            </w:pPr>
            <w:r>
              <w:t>Project Benefit</w:t>
            </w:r>
          </w:p>
        </w:tc>
        <w:tc>
          <w:tcPr>
            <w:tcW w:w="5244" w:type="dxa"/>
          </w:tcPr>
          <w:p w:rsidR="006D6B5B" w:rsidRDefault="00E00766" w:rsidP="00E00766">
            <w:pPr>
              <w:tabs>
                <w:tab w:val="left" w:pos="3540"/>
              </w:tabs>
              <w:rPr>
                <w:rFonts w:cs="Arial"/>
                <w:lang w:val="en-GB"/>
              </w:rPr>
            </w:pPr>
            <w:r>
              <w:rPr>
                <w:rFonts w:cs="Arial"/>
                <w:lang w:val="en-GB"/>
              </w:rPr>
              <w:t>Brief narrative</w:t>
            </w:r>
            <w:r w:rsidR="00980CE3">
              <w:rPr>
                <w:rFonts w:cs="Arial"/>
                <w:lang w:val="en-GB"/>
              </w:rPr>
              <w:t xml:space="preserve"> of project benefit</w:t>
            </w:r>
            <w:r w:rsidR="00B16E8A">
              <w:rPr>
                <w:rFonts w:cs="Arial"/>
                <w:lang w:val="en-GB"/>
              </w:rPr>
              <w:t>; limit to 200 characters</w:t>
            </w:r>
            <w:r w:rsidR="00045EE4">
              <w:rPr>
                <w:rFonts w:cs="Arial"/>
                <w:lang w:val="en-GB"/>
              </w:rPr>
              <w:t xml:space="preserve"> if possible</w:t>
            </w:r>
          </w:p>
        </w:tc>
      </w:tr>
      <w:tr w:rsidR="006D6B5B" w:rsidTr="00E00766">
        <w:tc>
          <w:tcPr>
            <w:tcW w:w="3775" w:type="dxa"/>
          </w:tcPr>
          <w:p w:rsidR="006D6B5B" w:rsidRDefault="006D6B5B" w:rsidP="00E00766">
            <w:pPr>
              <w:pStyle w:val="Style1"/>
            </w:pPr>
            <w:r>
              <w:t>Impact if not Implemented</w:t>
            </w:r>
          </w:p>
        </w:tc>
        <w:tc>
          <w:tcPr>
            <w:tcW w:w="5244" w:type="dxa"/>
          </w:tcPr>
          <w:p w:rsidR="006D6B5B" w:rsidRDefault="00E00766" w:rsidP="00E00766">
            <w:pPr>
              <w:tabs>
                <w:tab w:val="left" w:pos="3540"/>
              </w:tabs>
              <w:rPr>
                <w:rFonts w:cs="Arial"/>
                <w:lang w:val="en-GB"/>
              </w:rPr>
            </w:pPr>
            <w:r>
              <w:rPr>
                <w:rFonts w:cs="Arial"/>
                <w:lang w:val="en-GB"/>
              </w:rPr>
              <w:t>Brief narrative</w:t>
            </w:r>
            <w:r w:rsidR="00980CE3">
              <w:rPr>
                <w:rFonts w:cs="Arial"/>
                <w:lang w:val="en-GB"/>
              </w:rPr>
              <w:t xml:space="preserve"> of impact if not implemented</w:t>
            </w:r>
            <w:r w:rsidR="00B16E8A">
              <w:rPr>
                <w:rFonts w:cs="Arial"/>
                <w:lang w:val="en-GB"/>
              </w:rPr>
              <w:t>; limit to 200 characters</w:t>
            </w:r>
            <w:r w:rsidR="00045EE4">
              <w:rPr>
                <w:rFonts w:cs="Arial"/>
                <w:lang w:val="en-GB"/>
              </w:rPr>
              <w:t xml:space="preserve"> if possible</w:t>
            </w:r>
          </w:p>
        </w:tc>
      </w:tr>
      <w:tr w:rsidR="006D6B5B" w:rsidTr="00E00766">
        <w:tc>
          <w:tcPr>
            <w:tcW w:w="3775" w:type="dxa"/>
          </w:tcPr>
          <w:p w:rsidR="006D6B5B" w:rsidRDefault="006D6B5B" w:rsidP="00E00766">
            <w:pPr>
              <w:pStyle w:val="Style1"/>
            </w:pPr>
            <w:r w:rsidRPr="006D6B5B">
              <w:t>Target Completion Date</w:t>
            </w:r>
          </w:p>
        </w:tc>
        <w:tc>
          <w:tcPr>
            <w:tcW w:w="5244" w:type="dxa"/>
          </w:tcPr>
          <w:p w:rsidR="006D6B5B" w:rsidRDefault="00E00766" w:rsidP="00E00766">
            <w:pPr>
              <w:tabs>
                <w:tab w:val="left" w:pos="3540"/>
              </w:tabs>
              <w:rPr>
                <w:rFonts w:cs="Arial"/>
                <w:lang w:val="en-GB"/>
              </w:rPr>
            </w:pPr>
            <w:r>
              <w:rPr>
                <w:rFonts w:cs="Arial"/>
                <w:lang w:val="en-GB"/>
              </w:rPr>
              <w:t>Target completion date</w:t>
            </w:r>
          </w:p>
        </w:tc>
      </w:tr>
      <w:tr w:rsidR="006D6B5B" w:rsidTr="00E00766">
        <w:tc>
          <w:tcPr>
            <w:tcW w:w="3775" w:type="dxa"/>
          </w:tcPr>
          <w:p w:rsidR="006D6B5B" w:rsidRDefault="006D6B5B" w:rsidP="00E00766">
            <w:pPr>
              <w:pStyle w:val="Style1"/>
            </w:pPr>
            <w:r w:rsidRPr="006D6B5B">
              <w:t>Project Cost, PhP</w:t>
            </w:r>
          </w:p>
        </w:tc>
        <w:tc>
          <w:tcPr>
            <w:tcW w:w="5244" w:type="dxa"/>
          </w:tcPr>
          <w:p w:rsidR="006D6B5B" w:rsidRDefault="00E00766" w:rsidP="00E00766">
            <w:pPr>
              <w:tabs>
                <w:tab w:val="left" w:pos="3540"/>
              </w:tabs>
              <w:rPr>
                <w:rFonts w:cs="Arial"/>
                <w:lang w:val="en-GB"/>
              </w:rPr>
            </w:pPr>
            <w:r>
              <w:rPr>
                <w:rFonts w:cs="Arial"/>
                <w:lang w:val="en-GB"/>
              </w:rPr>
              <w:t>Project cost</w:t>
            </w:r>
          </w:p>
        </w:tc>
      </w:tr>
      <w:tr w:rsidR="00FE51F7" w:rsidTr="00E00766">
        <w:tc>
          <w:tcPr>
            <w:tcW w:w="3775" w:type="dxa"/>
          </w:tcPr>
          <w:p w:rsidR="00FE51F7" w:rsidRPr="006D6B5B" w:rsidRDefault="00FE51F7" w:rsidP="00E00766">
            <w:pPr>
              <w:pStyle w:val="Style1"/>
            </w:pPr>
            <w:r w:rsidRPr="00FE51F7">
              <w:t>Q</w:t>
            </w:r>
            <w:r w:rsidR="004B24BD">
              <w:t>uan</w:t>
            </w:r>
            <w:r w:rsidRPr="00FE51F7">
              <w:t>t</w:t>
            </w:r>
            <w:r w:rsidR="004B24BD">
              <w:t>it</w:t>
            </w:r>
            <w:r w:rsidRPr="00FE51F7">
              <w:t>y (ckm, MVA, MVAr</w:t>
            </w:r>
            <w:r w:rsidR="008D72EE">
              <w:t>, MW</w:t>
            </w:r>
            <w:r w:rsidRPr="00FE51F7">
              <w:t>)</w:t>
            </w:r>
          </w:p>
        </w:tc>
        <w:tc>
          <w:tcPr>
            <w:tcW w:w="5244" w:type="dxa"/>
          </w:tcPr>
          <w:p w:rsidR="00FE51F7" w:rsidRDefault="00FE51F7" w:rsidP="008D72EE">
            <w:pPr>
              <w:tabs>
                <w:tab w:val="left" w:pos="3540"/>
              </w:tabs>
              <w:rPr>
                <w:rFonts w:cs="Arial"/>
                <w:lang w:val="en-GB"/>
              </w:rPr>
            </w:pPr>
            <w:r>
              <w:rPr>
                <w:rFonts w:cs="Arial"/>
                <w:lang w:val="en-GB"/>
              </w:rPr>
              <w:t>Quantity in ckm, MVA, MVAr</w:t>
            </w:r>
            <w:r w:rsidR="008D72EE">
              <w:rPr>
                <w:rFonts w:cs="Arial"/>
                <w:lang w:val="en-GB"/>
              </w:rPr>
              <w:t>, or MW</w:t>
            </w:r>
            <w:r>
              <w:rPr>
                <w:rFonts w:cs="Arial"/>
                <w:lang w:val="en-GB"/>
              </w:rPr>
              <w:t xml:space="preserve"> as applicable</w:t>
            </w:r>
          </w:p>
        </w:tc>
      </w:tr>
    </w:tbl>
    <w:p w:rsidR="006D6B5B" w:rsidRDefault="006D6B5B" w:rsidP="006D6B5B">
      <w:pPr>
        <w:tabs>
          <w:tab w:val="left" w:pos="3540"/>
        </w:tabs>
        <w:rPr>
          <w:rFonts w:cs="Arial"/>
          <w:lang w:val="en-GB"/>
        </w:rPr>
      </w:pPr>
    </w:p>
    <w:p w:rsidR="00041919" w:rsidRDefault="00041919" w:rsidP="006D6B5B">
      <w:pPr>
        <w:tabs>
          <w:tab w:val="left" w:pos="3540"/>
        </w:tabs>
        <w:rPr>
          <w:rFonts w:cs="Arial"/>
          <w:lang w:val="en-GB"/>
        </w:rPr>
      </w:pPr>
      <w:r>
        <w:rPr>
          <w:rFonts w:cs="Arial"/>
          <w:lang w:val="en-GB"/>
        </w:rPr>
        <w:t>The entries should not be separated by empty rows.</w:t>
      </w:r>
    </w:p>
    <w:p w:rsidR="00041919" w:rsidRDefault="00041919" w:rsidP="006D6B5B">
      <w:pPr>
        <w:tabs>
          <w:tab w:val="left" w:pos="3540"/>
        </w:tabs>
        <w:rPr>
          <w:rFonts w:cs="Arial"/>
          <w:lang w:val="en-GB"/>
        </w:rPr>
      </w:pPr>
    </w:p>
    <w:p w:rsidR="006D6B5B" w:rsidRDefault="006D6B5B" w:rsidP="006D6B5B">
      <w:pPr>
        <w:tabs>
          <w:tab w:val="left" w:pos="3540"/>
        </w:tabs>
        <w:rPr>
          <w:rFonts w:cs="Arial"/>
          <w:lang w:val="en-GB"/>
        </w:rPr>
      </w:pPr>
      <w:r>
        <w:rPr>
          <w:rFonts w:cs="Arial"/>
          <w:lang w:val="en-GB"/>
        </w:rPr>
        <w:t xml:space="preserve">The allowable values for </w:t>
      </w:r>
      <w:r w:rsidRPr="006D6B5B">
        <w:rPr>
          <w:rStyle w:val="Style1Char"/>
        </w:rPr>
        <w:t>Type</w:t>
      </w:r>
      <w:r>
        <w:rPr>
          <w:rFonts w:cs="Arial"/>
          <w:lang w:val="en-GB"/>
        </w:rPr>
        <w:t xml:space="preserve"> are limited to the following:</w:t>
      </w:r>
    </w:p>
    <w:p w:rsidR="006D6B5B" w:rsidRDefault="006D6B5B" w:rsidP="006D6B5B">
      <w:pPr>
        <w:tabs>
          <w:tab w:val="left" w:pos="3540"/>
        </w:tabs>
        <w:rPr>
          <w:rFonts w:cs="Arial"/>
          <w:lang w:val="en-GB"/>
        </w:rPr>
      </w:pPr>
    </w:p>
    <w:tbl>
      <w:tblPr>
        <w:tblStyle w:val="TableGrid"/>
        <w:tblW w:w="0" w:type="auto"/>
        <w:tblLook w:val="04A0" w:firstRow="1" w:lastRow="0" w:firstColumn="1" w:lastColumn="0" w:noHBand="0" w:noVBand="1"/>
      </w:tblPr>
      <w:tblGrid>
        <w:gridCol w:w="7015"/>
      </w:tblGrid>
      <w:tr w:rsidR="006D6B5B" w:rsidRPr="007A74CC" w:rsidTr="00147A39">
        <w:trPr>
          <w:cantSplit/>
        </w:trPr>
        <w:tc>
          <w:tcPr>
            <w:tcW w:w="7015" w:type="dxa"/>
            <w:shd w:val="clear" w:color="auto" w:fill="FFFF00"/>
          </w:tcPr>
          <w:p w:rsidR="006D6B5B" w:rsidRPr="007A74CC" w:rsidRDefault="006D6B5B" w:rsidP="00E00766">
            <w:pPr>
              <w:tabs>
                <w:tab w:val="left" w:pos="3540"/>
              </w:tabs>
              <w:jc w:val="center"/>
              <w:rPr>
                <w:rFonts w:cs="Arial"/>
                <w:b/>
                <w:lang w:val="en-GB"/>
              </w:rPr>
            </w:pPr>
            <w:r>
              <w:rPr>
                <w:rFonts w:cs="Arial"/>
                <w:b/>
                <w:lang w:val="en-GB"/>
              </w:rPr>
              <w:t xml:space="preserve">Values for </w:t>
            </w:r>
            <w:r w:rsidRPr="006D6B5B">
              <w:rPr>
                <w:rStyle w:val="Style1Char"/>
              </w:rPr>
              <w:t>Type</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Safety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Capacity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Power Quality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Reliability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System Loss</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Other CAPEX</w:t>
            </w:r>
          </w:p>
        </w:tc>
      </w:tr>
      <w:tr w:rsidR="006D6B5B" w:rsidRPr="006D6B5B" w:rsidTr="00147A39">
        <w:trPr>
          <w:cantSplit/>
          <w:trHeight w:val="270"/>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Non-network Projects</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Electrification</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Resiliency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Efficiency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Flexibility / Sustainability</w:t>
            </w:r>
          </w:p>
        </w:tc>
      </w:tr>
      <w:tr w:rsidR="006D6B5B" w:rsidRPr="006D6B5B" w:rsidTr="00147A39">
        <w:trPr>
          <w:cantSplit/>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Consumer Empowerment</w:t>
            </w:r>
          </w:p>
        </w:tc>
      </w:tr>
    </w:tbl>
    <w:p w:rsidR="006D6B5B" w:rsidRDefault="006D6B5B" w:rsidP="006D6B5B">
      <w:pPr>
        <w:tabs>
          <w:tab w:val="left" w:pos="3540"/>
        </w:tabs>
        <w:rPr>
          <w:rFonts w:cs="Arial"/>
          <w:lang w:val="en-GB"/>
        </w:rPr>
      </w:pPr>
    </w:p>
    <w:p w:rsidR="006D6B5B" w:rsidRDefault="006D6B5B" w:rsidP="006D6B5B">
      <w:pPr>
        <w:tabs>
          <w:tab w:val="left" w:pos="3540"/>
        </w:tabs>
        <w:rPr>
          <w:rFonts w:cs="Arial"/>
          <w:lang w:val="en-GB"/>
        </w:rPr>
      </w:pPr>
      <w:r>
        <w:rPr>
          <w:rFonts w:cs="Arial"/>
          <w:lang w:val="en-GB"/>
        </w:rPr>
        <w:t xml:space="preserve">The allowable values for </w:t>
      </w:r>
      <w:r w:rsidRPr="006D6B5B">
        <w:rPr>
          <w:rStyle w:val="Style1Char"/>
        </w:rPr>
        <w:t>Category</w:t>
      </w:r>
      <w:r>
        <w:rPr>
          <w:rFonts w:cs="Arial"/>
          <w:lang w:val="en-GB"/>
        </w:rPr>
        <w:t xml:space="preserve"> are limited to the following:</w:t>
      </w:r>
    </w:p>
    <w:p w:rsidR="006D6B5B" w:rsidRDefault="006D6B5B" w:rsidP="006D6B5B">
      <w:pPr>
        <w:tabs>
          <w:tab w:val="left" w:pos="3540"/>
        </w:tabs>
        <w:rPr>
          <w:rFonts w:cs="Arial"/>
          <w:lang w:val="en-GB"/>
        </w:rPr>
      </w:pPr>
    </w:p>
    <w:tbl>
      <w:tblPr>
        <w:tblStyle w:val="TableGrid"/>
        <w:tblW w:w="0" w:type="auto"/>
        <w:tblLook w:val="04A0" w:firstRow="1" w:lastRow="0" w:firstColumn="1" w:lastColumn="0" w:noHBand="0" w:noVBand="1"/>
      </w:tblPr>
      <w:tblGrid>
        <w:gridCol w:w="7015"/>
      </w:tblGrid>
      <w:tr w:rsidR="006D6B5B" w:rsidRPr="007A74CC" w:rsidTr="00C94219">
        <w:trPr>
          <w:tblHeader/>
        </w:trPr>
        <w:tc>
          <w:tcPr>
            <w:tcW w:w="7015" w:type="dxa"/>
            <w:shd w:val="clear" w:color="auto" w:fill="FFFF00"/>
          </w:tcPr>
          <w:p w:rsidR="006D6B5B" w:rsidRPr="007A74CC" w:rsidRDefault="006D6B5B" w:rsidP="006D6B5B">
            <w:pPr>
              <w:tabs>
                <w:tab w:val="left" w:pos="3540"/>
              </w:tabs>
              <w:jc w:val="center"/>
              <w:rPr>
                <w:rFonts w:cs="Arial"/>
                <w:b/>
                <w:lang w:val="en-GB"/>
              </w:rPr>
            </w:pPr>
            <w:r>
              <w:rPr>
                <w:rFonts w:cs="Arial"/>
                <w:b/>
                <w:lang w:val="en-GB"/>
              </w:rPr>
              <w:t xml:space="preserve">Values for </w:t>
            </w:r>
            <w:r>
              <w:rPr>
                <w:rStyle w:val="Style1Char"/>
              </w:rPr>
              <w:t>Category</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Subtransmission Facilities: Acquisition and Expansion</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Subtransmission Facilities: Replacement and Rehabilitation</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Distribution Facilities: Acquisition and Expansion</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Distribution Facilities: Replacement and Rehabilitation</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Substation: Additional</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Substation: Uprating</w:t>
            </w:r>
          </w:p>
        </w:tc>
      </w:tr>
      <w:tr w:rsidR="006D6B5B" w:rsidRPr="006D6B5B" w:rsidTr="006D6B5B">
        <w:trPr>
          <w:trHeight w:val="270"/>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lastRenderedPageBreak/>
              <w:t>Substation: Retirement</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Substation: Stand-by</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Reactive Power Compensation: Substation</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Reactive Power Compensation: Distribution</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Electrification Projects</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Other Network Assets</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Non-network Assets</w:t>
            </w:r>
          </w:p>
        </w:tc>
      </w:tr>
      <w:tr w:rsidR="006D6B5B" w:rsidRPr="006D6B5B" w:rsidTr="006D6B5B">
        <w:trPr>
          <w:trHeight w:val="255"/>
        </w:trPr>
        <w:tc>
          <w:tcPr>
            <w:tcW w:w="7015" w:type="dxa"/>
            <w:noWrap/>
            <w:hideMark/>
          </w:tcPr>
          <w:p w:rsidR="006D6B5B" w:rsidRPr="006D6B5B" w:rsidRDefault="00D7763A" w:rsidP="00D7763A">
            <w:pPr>
              <w:rPr>
                <w:rFonts w:eastAsia="Times New Roman" w:cs="Arial"/>
                <w:color w:val="000000"/>
              </w:rPr>
            </w:pPr>
            <w:r>
              <w:rPr>
                <w:rFonts w:eastAsia="Times New Roman" w:cs="Arial"/>
                <w:color w:val="000000"/>
              </w:rPr>
              <w:t>Res</w:t>
            </w:r>
            <w:r w:rsidR="008D72EE">
              <w:rPr>
                <w:rFonts w:eastAsia="Times New Roman" w:cs="Arial"/>
                <w:color w:val="000000"/>
              </w:rPr>
              <w:t>iliency</w:t>
            </w:r>
            <w:r>
              <w:rPr>
                <w:rFonts w:eastAsia="Times New Roman" w:cs="Arial"/>
                <w:color w:val="000000"/>
              </w:rPr>
              <w:t>: Improved Facility W</w:t>
            </w:r>
            <w:r w:rsidR="006D6B5B" w:rsidRPr="006D6B5B">
              <w:rPr>
                <w:rFonts w:eastAsia="Times New Roman" w:cs="Arial"/>
                <w:color w:val="000000"/>
              </w:rPr>
              <w:t xml:space="preserve">ithstand </w:t>
            </w:r>
            <w:r>
              <w:rPr>
                <w:rFonts w:eastAsia="Times New Roman" w:cs="Arial"/>
                <w:color w:val="000000"/>
              </w:rPr>
              <w:t>C</w:t>
            </w:r>
            <w:r w:rsidR="006D6B5B" w:rsidRPr="006D6B5B">
              <w:rPr>
                <w:rFonts w:eastAsia="Times New Roman" w:cs="Arial"/>
                <w:color w:val="000000"/>
              </w:rPr>
              <w:t>apability</w:t>
            </w:r>
          </w:p>
        </w:tc>
      </w:tr>
      <w:tr w:rsidR="006D6B5B" w:rsidRPr="006D6B5B" w:rsidTr="006D6B5B">
        <w:trPr>
          <w:trHeight w:val="255"/>
        </w:trPr>
        <w:tc>
          <w:tcPr>
            <w:tcW w:w="7015" w:type="dxa"/>
            <w:noWrap/>
            <w:hideMark/>
          </w:tcPr>
          <w:p w:rsidR="006D6B5B" w:rsidRPr="006D6B5B" w:rsidRDefault="006D6B5B" w:rsidP="00D7763A">
            <w:pPr>
              <w:rPr>
                <w:rFonts w:eastAsia="Times New Roman" w:cs="Arial"/>
                <w:color w:val="000000"/>
              </w:rPr>
            </w:pPr>
            <w:r w:rsidRPr="006D6B5B">
              <w:rPr>
                <w:rFonts w:eastAsia="Times New Roman" w:cs="Arial"/>
                <w:color w:val="000000"/>
              </w:rPr>
              <w:t>Res</w:t>
            </w:r>
            <w:r w:rsidR="008D72EE">
              <w:rPr>
                <w:rFonts w:eastAsia="Times New Roman" w:cs="Arial"/>
                <w:color w:val="000000"/>
              </w:rPr>
              <w:t>iliency</w:t>
            </w:r>
            <w:r w:rsidRPr="006D6B5B">
              <w:rPr>
                <w:rFonts w:eastAsia="Times New Roman" w:cs="Arial"/>
                <w:color w:val="000000"/>
              </w:rPr>
              <w:t>: System Reliability</w:t>
            </w:r>
            <w:r w:rsidR="00D7763A">
              <w:rPr>
                <w:rFonts w:eastAsia="Times New Roman" w:cs="Arial"/>
                <w:color w:val="000000"/>
              </w:rPr>
              <w:t xml:space="preserve"> </w:t>
            </w:r>
            <w:r w:rsidRPr="006D6B5B">
              <w:rPr>
                <w:rFonts w:eastAsia="Times New Roman" w:cs="Arial"/>
                <w:color w:val="000000"/>
              </w:rPr>
              <w:t>/</w:t>
            </w:r>
            <w:r w:rsidR="00D7763A">
              <w:rPr>
                <w:rFonts w:eastAsia="Times New Roman" w:cs="Arial"/>
                <w:color w:val="000000"/>
              </w:rPr>
              <w:t xml:space="preserve"> F</w:t>
            </w:r>
            <w:r w:rsidRPr="006D6B5B">
              <w:rPr>
                <w:rFonts w:eastAsia="Times New Roman" w:cs="Arial"/>
                <w:color w:val="000000"/>
              </w:rPr>
              <w:t>lexibility</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Res</w:t>
            </w:r>
            <w:r w:rsidR="008D72EE">
              <w:rPr>
                <w:rFonts w:eastAsia="Times New Roman" w:cs="Arial"/>
                <w:color w:val="000000"/>
              </w:rPr>
              <w:t>iliency</w:t>
            </w:r>
            <w:r w:rsidRPr="006D6B5B">
              <w:rPr>
                <w:rFonts w:eastAsia="Times New Roman" w:cs="Arial"/>
                <w:color w:val="000000"/>
              </w:rPr>
              <w:t>: Equipment Stockpiling</w:t>
            </w:r>
          </w:p>
        </w:tc>
      </w:tr>
      <w:tr w:rsidR="006D6B5B" w:rsidRPr="006D6B5B" w:rsidTr="006D6B5B">
        <w:trPr>
          <w:trHeight w:val="255"/>
        </w:trPr>
        <w:tc>
          <w:tcPr>
            <w:tcW w:w="7015" w:type="dxa"/>
            <w:noWrap/>
            <w:hideMark/>
          </w:tcPr>
          <w:p w:rsidR="006D6B5B" w:rsidRPr="006D6B5B" w:rsidRDefault="006D6B5B" w:rsidP="00D7763A">
            <w:pPr>
              <w:rPr>
                <w:rFonts w:eastAsia="Times New Roman" w:cs="Arial"/>
                <w:color w:val="000000"/>
              </w:rPr>
            </w:pPr>
            <w:r w:rsidRPr="006D6B5B">
              <w:rPr>
                <w:rFonts w:eastAsia="Times New Roman" w:cs="Arial"/>
                <w:color w:val="000000"/>
              </w:rPr>
              <w:t>Res</w:t>
            </w:r>
            <w:r w:rsidR="008D72EE">
              <w:rPr>
                <w:rFonts w:eastAsia="Times New Roman" w:cs="Arial"/>
                <w:color w:val="000000"/>
              </w:rPr>
              <w:t>iliency</w:t>
            </w:r>
            <w:r w:rsidRPr="006D6B5B">
              <w:rPr>
                <w:rFonts w:eastAsia="Times New Roman" w:cs="Arial"/>
                <w:color w:val="000000"/>
              </w:rPr>
              <w:t xml:space="preserve">: System </w:t>
            </w:r>
            <w:r w:rsidR="00D7763A">
              <w:rPr>
                <w:rFonts w:eastAsia="Times New Roman" w:cs="Arial"/>
                <w:color w:val="000000"/>
              </w:rPr>
              <w:t>R</w:t>
            </w:r>
            <w:r w:rsidRPr="006D6B5B">
              <w:rPr>
                <w:rFonts w:eastAsia="Times New Roman" w:cs="Arial"/>
                <w:color w:val="000000"/>
              </w:rPr>
              <w:t xml:space="preserve">esponse &amp; </w:t>
            </w:r>
            <w:r w:rsidR="00D7763A">
              <w:rPr>
                <w:rFonts w:eastAsia="Times New Roman" w:cs="Arial"/>
                <w:color w:val="000000"/>
              </w:rPr>
              <w:t>R</w:t>
            </w:r>
            <w:r w:rsidRPr="006D6B5B">
              <w:rPr>
                <w:rFonts w:eastAsia="Times New Roman" w:cs="Arial"/>
                <w:color w:val="000000"/>
              </w:rPr>
              <w:t>ecovery</w:t>
            </w:r>
          </w:p>
        </w:tc>
      </w:tr>
      <w:tr w:rsidR="006D6B5B" w:rsidRPr="006D6B5B" w:rsidTr="006D6B5B">
        <w:trPr>
          <w:trHeight w:val="255"/>
        </w:trPr>
        <w:tc>
          <w:tcPr>
            <w:tcW w:w="7015" w:type="dxa"/>
            <w:noWrap/>
            <w:hideMark/>
          </w:tcPr>
          <w:p w:rsidR="006D6B5B" w:rsidRPr="006D6B5B" w:rsidRDefault="006D6B5B" w:rsidP="006D6B5B">
            <w:pPr>
              <w:rPr>
                <w:rFonts w:eastAsia="Times New Roman" w:cs="Arial"/>
                <w:color w:val="000000"/>
              </w:rPr>
            </w:pPr>
            <w:r w:rsidRPr="006D6B5B">
              <w:rPr>
                <w:rFonts w:eastAsia="Times New Roman" w:cs="Arial"/>
                <w:color w:val="000000"/>
              </w:rPr>
              <w:t>Smart Grid</w:t>
            </w:r>
          </w:p>
        </w:tc>
      </w:tr>
      <w:tr w:rsidR="008D72EE" w:rsidRPr="006D6B5B" w:rsidTr="006D6B5B">
        <w:trPr>
          <w:trHeight w:val="255"/>
        </w:trPr>
        <w:tc>
          <w:tcPr>
            <w:tcW w:w="7015" w:type="dxa"/>
            <w:noWrap/>
          </w:tcPr>
          <w:p w:rsidR="008D72EE" w:rsidRPr="006D6B5B" w:rsidRDefault="008D72EE" w:rsidP="006D6B5B">
            <w:pPr>
              <w:rPr>
                <w:rFonts w:eastAsia="Times New Roman" w:cs="Arial"/>
                <w:color w:val="000000"/>
              </w:rPr>
            </w:pPr>
            <w:r>
              <w:rPr>
                <w:rFonts w:eastAsia="Times New Roman" w:cs="Arial"/>
                <w:color w:val="000000"/>
              </w:rPr>
              <w:t>DU’s Self-generation</w:t>
            </w:r>
          </w:p>
        </w:tc>
      </w:tr>
    </w:tbl>
    <w:p w:rsidR="006D6B5B" w:rsidRDefault="006D6B5B" w:rsidP="006D6B5B">
      <w:pPr>
        <w:tabs>
          <w:tab w:val="left" w:pos="3540"/>
        </w:tabs>
        <w:rPr>
          <w:rFonts w:cs="Arial"/>
          <w:lang w:val="en-GB"/>
        </w:rPr>
      </w:pPr>
    </w:p>
    <w:p w:rsidR="00FE51F7" w:rsidRDefault="00FE51F7" w:rsidP="00FE51F7">
      <w:pPr>
        <w:tabs>
          <w:tab w:val="left" w:pos="3540"/>
        </w:tabs>
        <w:rPr>
          <w:rFonts w:cs="Arial"/>
          <w:lang w:val="en-GB"/>
        </w:rPr>
      </w:pPr>
      <w:r>
        <w:rPr>
          <w:rFonts w:cs="Arial"/>
          <w:lang w:val="en-GB"/>
        </w:rPr>
        <w:t xml:space="preserve">The field </w:t>
      </w:r>
      <w:r w:rsidRPr="00FE51F7">
        <w:rPr>
          <w:rStyle w:val="Style1Char"/>
        </w:rPr>
        <w:t>Q</w:t>
      </w:r>
      <w:r w:rsidR="00A24602">
        <w:rPr>
          <w:rStyle w:val="Style1Char"/>
        </w:rPr>
        <w:t>uanti</w:t>
      </w:r>
      <w:r w:rsidRPr="00FE51F7">
        <w:rPr>
          <w:rStyle w:val="Style1Char"/>
        </w:rPr>
        <w:t>ty (ckm, MVA, MVAr</w:t>
      </w:r>
      <w:r w:rsidR="0000261D">
        <w:rPr>
          <w:rStyle w:val="Style1Char"/>
        </w:rPr>
        <w:t>, MW</w:t>
      </w:r>
      <w:r w:rsidRPr="00FE51F7">
        <w:rPr>
          <w:rStyle w:val="Style1Char"/>
        </w:rPr>
        <w:t>)</w:t>
      </w:r>
      <w:r>
        <w:rPr>
          <w:rFonts w:cs="Arial"/>
          <w:lang w:val="en-GB"/>
        </w:rPr>
        <w:t xml:space="preserve"> shall contain the corresponding circuit kilometers for subtransmission and distribution projects, or the corresponding capacity in MVA for substation projects, or the corresponding capacity in MVAr for reactive power compensation projects</w:t>
      </w:r>
      <w:r w:rsidR="0000261D">
        <w:rPr>
          <w:rFonts w:cs="Arial"/>
          <w:lang w:val="en-GB"/>
        </w:rPr>
        <w:t>, or the corresponding capacity in MW for self-generation projects</w:t>
      </w:r>
      <w:r>
        <w:rPr>
          <w:rFonts w:cs="Arial"/>
          <w:lang w:val="en-GB"/>
        </w:rPr>
        <w:t>. It should be left blank for all other projects.</w:t>
      </w:r>
      <w:r w:rsidR="00A24602">
        <w:rPr>
          <w:rFonts w:cs="Arial"/>
          <w:lang w:val="en-GB"/>
        </w:rPr>
        <w:t xml:space="preserve"> For substation retirement projects,</w:t>
      </w:r>
      <w:r w:rsidR="0088440F">
        <w:rPr>
          <w:rFonts w:cs="Arial"/>
          <w:lang w:val="en-GB"/>
        </w:rPr>
        <w:t xml:space="preserve"> the values for</w:t>
      </w:r>
      <w:r w:rsidR="00A24602">
        <w:rPr>
          <w:rFonts w:cs="Arial"/>
          <w:lang w:val="en-GB"/>
        </w:rPr>
        <w:t xml:space="preserve"> </w:t>
      </w:r>
      <w:r w:rsidR="00A24602" w:rsidRPr="00FE51F7">
        <w:rPr>
          <w:rStyle w:val="Style1Char"/>
        </w:rPr>
        <w:t>Q</w:t>
      </w:r>
      <w:r w:rsidR="00A24602">
        <w:rPr>
          <w:rStyle w:val="Style1Char"/>
        </w:rPr>
        <w:t>uanti</w:t>
      </w:r>
      <w:r w:rsidR="00A24602" w:rsidRPr="00FE51F7">
        <w:rPr>
          <w:rStyle w:val="Style1Char"/>
        </w:rPr>
        <w:t>ty (ckm, MVA, MVAr</w:t>
      </w:r>
      <w:r w:rsidR="0000261D">
        <w:rPr>
          <w:rStyle w:val="Style1Char"/>
        </w:rPr>
        <w:t>, MW</w:t>
      </w:r>
      <w:r w:rsidR="00A24602" w:rsidRPr="00FE51F7">
        <w:rPr>
          <w:rStyle w:val="Style1Char"/>
        </w:rPr>
        <w:t>)</w:t>
      </w:r>
      <w:r w:rsidR="00A24602">
        <w:rPr>
          <w:rFonts w:cs="Arial"/>
          <w:lang w:val="en-GB"/>
        </w:rPr>
        <w:t xml:space="preserve"> must be negative</w:t>
      </w:r>
      <w:r w:rsidR="00FD7678">
        <w:rPr>
          <w:rFonts w:cs="Arial"/>
          <w:lang w:val="en-GB"/>
        </w:rPr>
        <w:t xml:space="preserve"> (text will be in red)</w:t>
      </w:r>
      <w:r w:rsidR="0088440F">
        <w:rPr>
          <w:rFonts w:cs="Arial"/>
          <w:lang w:val="en-GB"/>
        </w:rPr>
        <w:t>.</w:t>
      </w:r>
      <w:r w:rsidR="0000261D">
        <w:rPr>
          <w:rFonts w:cs="Arial"/>
          <w:lang w:val="en-GB"/>
        </w:rPr>
        <w:t xml:space="preserve"> Once a cell under </w:t>
      </w:r>
      <w:r w:rsidR="0000261D" w:rsidRPr="00FE51F7">
        <w:rPr>
          <w:rStyle w:val="Style1Char"/>
        </w:rPr>
        <w:t>Q</w:t>
      </w:r>
      <w:r w:rsidR="0000261D">
        <w:rPr>
          <w:rStyle w:val="Style1Char"/>
        </w:rPr>
        <w:t>uanti</w:t>
      </w:r>
      <w:r w:rsidR="0000261D" w:rsidRPr="00FE51F7">
        <w:rPr>
          <w:rStyle w:val="Style1Char"/>
        </w:rPr>
        <w:t>ty (ckm, MVA, MVAr</w:t>
      </w:r>
      <w:r w:rsidR="0000261D">
        <w:rPr>
          <w:rStyle w:val="Style1Char"/>
        </w:rPr>
        <w:t>, MW</w:t>
      </w:r>
      <w:r w:rsidR="0000261D" w:rsidRPr="00FE51F7">
        <w:rPr>
          <w:rStyle w:val="Style1Char"/>
        </w:rPr>
        <w:t>)</w:t>
      </w:r>
      <w:r w:rsidR="0000261D" w:rsidRPr="0000261D">
        <w:t xml:space="preserve"> is</w:t>
      </w:r>
      <w:r w:rsidR="0000261D">
        <w:t xml:space="preserve"> selected, t</w:t>
      </w:r>
      <w:r w:rsidR="0000261D">
        <w:rPr>
          <w:rFonts w:cs="Arial"/>
          <w:lang w:val="en-GB"/>
        </w:rPr>
        <w:t xml:space="preserve">he cell to the right will show the pertinent unit based on </w:t>
      </w:r>
      <w:r w:rsidR="0000261D" w:rsidRPr="0000261D">
        <w:rPr>
          <w:rStyle w:val="Style1Char"/>
        </w:rPr>
        <w:t>Category</w:t>
      </w:r>
      <w:r w:rsidR="0000261D">
        <w:rPr>
          <w:rFonts w:cs="Arial"/>
          <w:lang w:val="en-GB"/>
        </w:rPr>
        <w:t>.</w:t>
      </w:r>
    </w:p>
    <w:p w:rsidR="00492314" w:rsidRDefault="00492314" w:rsidP="00FE51F7">
      <w:pPr>
        <w:tabs>
          <w:tab w:val="left" w:pos="3540"/>
        </w:tabs>
        <w:rPr>
          <w:rFonts w:cs="Arial"/>
          <w:lang w:val="en-GB"/>
        </w:rPr>
      </w:pPr>
    </w:p>
    <w:p w:rsidR="00F47CCF" w:rsidRDefault="00F47CCF" w:rsidP="00F47CCF">
      <w:pPr>
        <w:tabs>
          <w:tab w:val="left" w:pos="3540"/>
        </w:tabs>
        <w:rPr>
          <w:rFonts w:cs="Arial"/>
          <w:color w:val="FF0000"/>
          <w:lang w:val="en-GB"/>
        </w:rPr>
      </w:pPr>
      <w:r>
        <w:rPr>
          <w:rFonts w:cs="Arial"/>
          <w:lang w:val="en-GB"/>
        </w:rPr>
        <w:t xml:space="preserve">It could happen that a single project has more than one quantity among ckm, MVA, MVAr, and MW. For example, a substation project may </w:t>
      </w:r>
      <w:r w:rsidR="002077A1">
        <w:rPr>
          <w:rFonts w:cs="Arial"/>
          <w:lang w:val="en-GB"/>
        </w:rPr>
        <w:t>have</w:t>
      </w:r>
      <w:r>
        <w:rPr>
          <w:rFonts w:cs="Arial"/>
          <w:lang w:val="en-GB"/>
        </w:rPr>
        <w:t xml:space="preserve"> MVA for the transformers and ckm for subtransmission lines. In such cases, create multiple instances of the same project, differing only in </w:t>
      </w:r>
      <w:r w:rsidRPr="00F47CCF">
        <w:rPr>
          <w:rStyle w:val="Style1Char"/>
        </w:rPr>
        <w:t>Category</w:t>
      </w:r>
      <w:r>
        <w:rPr>
          <w:rFonts w:cs="Arial"/>
          <w:lang w:val="en-GB"/>
        </w:rPr>
        <w:t xml:space="preserve">, </w:t>
      </w:r>
      <w:r w:rsidRPr="00F47CCF">
        <w:rPr>
          <w:rStyle w:val="Style1Char"/>
        </w:rPr>
        <w:t>Project Cost, PhP</w:t>
      </w:r>
      <w:r>
        <w:rPr>
          <w:rFonts w:cs="Arial"/>
          <w:lang w:val="en-GB"/>
        </w:rPr>
        <w:t xml:space="preserve">, and </w:t>
      </w:r>
      <w:r w:rsidRPr="00FE51F7">
        <w:rPr>
          <w:rStyle w:val="Style1Char"/>
        </w:rPr>
        <w:t>Q</w:t>
      </w:r>
      <w:r>
        <w:rPr>
          <w:rStyle w:val="Style1Char"/>
        </w:rPr>
        <w:t>uanti</w:t>
      </w:r>
      <w:r w:rsidRPr="00FE51F7">
        <w:rPr>
          <w:rStyle w:val="Style1Char"/>
        </w:rPr>
        <w:t>ty (ckm, MVA, MVAr</w:t>
      </w:r>
      <w:r>
        <w:rPr>
          <w:rStyle w:val="Style1Char"/>
        </w:rPr>
        <w:t>, MW</w:t>
      </w:r>
      <w:r w:rsidRPr="00FE51F7">
        <w:rPr>
          <w:rStyle w:val="Style1Char"/>
        </w:rPr>
        <w:t>)</w:t>
      </w:r>
      <w:r w:rsidRPr="00F47CCF">
        <w:t xml:space="preserve">. </w:t>
      </w:r>
      <w:r>
        <w:rPr>
          <w:rFonts w:cs="Arial"/>
          <w:lang w:val="en-GB"/>
        </w:rPr>
        <w:t xml:space="preserve">However, if the cost cannot be broken down accordingly, it can be lumped in </w:t>
      </w:r>
      <w:r w:rsidRPr="00F47CCF">
        <w:rPr>
          <w:rStyle w:val="Style1Char"/>
        </w:rPr>
        <w:t>Project Cost, PhP</w:t>
      </w:r>
      <w:r>
        <w:rPr>
          <w:rFonts w:cs="Arial"/>
          <w:lang w:val="en-GB"/>
        </w:rPr>
        <w:t xml:space="preserve"> of any one instance.</w:t>
      </w:r>
    </w:p>
    <w:p w:rsidR="00F47CCF" w:rsidRDefault="00F47CCF" w:rsidP="00F47CCF">
      <w:pPr>
        <w:tabs>
          <w:tab w:val="left" w:pos="3540"/>
        </w:tabs>
        <w:rPr>
          <w:rFonts w:cs="Arial"/>
          <w:color w:val="FF0000"/>
          <w:lang w:val="en-GB"/>
        </w:rPr>
      </w:pPr>
    </w:p>
    <w:p w:rsidR="00591923" w:rsidRDefault="00591923" w:rsidP="00F47CCF">
      <w:pPr>
        <w:tabs>
          <w:tab w:val="left" w:pos="3540"/>
        </w:tabs>
        <w:rPr>
          <w:rFonts w:cs="Arial"/>
          <w:lang w:val="en-GB"/>
        </w:rPr>
      </w:pPr>
      <w:r w:rsidRPr="00591923">
        <w:rPr>
          <w:rFonts w:cs="Arial"/>
          <w:lang w:val="en-GB"/>
        </w:rPr>
        <w:t xml:space="preserve">Populate the input fields as applicable. </w:t>
      </w:r>
      <w:r w:rsidR="00C23234">
        <w:rPr>
          <w:rFonts w:cs="Arial"/>
          <w:lang w:val="en-GB"/>
        </w:rPr>
        <w:t xml:space="preserve">To check for </w:t>
      </w:r>
      <w:r w:rsidR="00F2326C">
        <w:rPr>
          <w:rFonts w:cs="Arial"/>
          <w:lang w:val="en-GB"/>
        </w:rPr>
        <w:t>correctness, save the file</w:t>
      </w:r>
      <w:r w:rsidRPr="00591923">
        <w:rPr>
          <w:rFonts w:cs="Arial"/>
          <w:lang w:val="en-GB"/>
        </w:rPr>
        <w:t xml:space="preserve"> then hit </w:t>
      </w:r>
      <w:r w:rsidRPr="00591923">
        <w:rPr>
          <w:noProof/>
        </w:rPr>
        <w:drawing>
          <wp:inline distT="0" distB="0" distL="0" distR="0" wp14:anchorId="1C5E2E84" wp14:editId="642B394B">
            <wp:extent cx="171429" cy="85714"/>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sidRPr="00591923">
        <w:rPr>
          <w:lang w:val="en-GB"/>
        </w:rPr>
        <w:t xml:space="preserve">. </w:t>
      </w:r>
      <w:r w:rsidRPr="00591923">
        <w:rPr>
          <w:rFonts w:cs="Arial"/>
          <w:lang w:val="en-GB"/>
        </w:rPr>
        <w:t>To clear the contents of the table, click the Clear button.</w:t>
      </w:r>
    </w:p>
    <w:p w:rsidR="001438F0" w:rsidRDefault="001438F0" w:rsidP="00724164">
      <w:pPr>
        <w:tabs>
          <w:tab w:val="left" w:pos="3540"/>
        </w:tabs>
        <w:rPr>
          <w:rFonts w:cs="Arial"/>
          <w:b/>
          <w:lang w:val="en-GB"/>
        </w:rPr>
      </w:pPr>
    </w:p>
    <w:p w:rsidR="00AE27BB" w:rsidRDefault="00AE27BB" w:rsidP="00AE27BB">
      <w:pPr>
        <w:tabs>
          <w:tab w:val="left" w:pos="3540"/>
        </w:tabs>
        <w:rPr>
          <w:rFonts w:cs="Arial"/>
          <w:lang w:val="en-GB"/>
        </w:rPr>
      </w:pPr>
      <w:r>
        <w:rPr>
          <w:rFonts w:cs="Arial"/>
          <w:lang w:val="en-GB"/>
        </w:rPr>
        <w:t xml:space="preserve">Clicking </w:t>
      </w:r>
      <w:r w:rsidRPr="00591923">
        <w:rPr>
          <w:noProof/>
        </w:rPr>
        <w:drawing>
          <wp:inline distT="0" distB="0" distL="0" distR="0" wp14:anchorId="6941ED0D" wp14:editId="213000C3">
            <wp:extent cx="171429" cy="85714"/>
            <wp:effectExtent l="0" t="0" r="63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Pr>
          <w:rFonts w:cs="Arial"/>
          <w:lang w:val="en-GB"/>
        </w:rPr>
        <w:t xml:space="preserve"> for Sheet </w:t>
      </w:r>
      <w:r>
        <w:rPr>
          <w:rStyle w:val="Style1Char"/>
        </w:rPr>
        <w:t>CAPEX-1</w:t>
      </w:r>
      <w:r>
        <w:rPr>
          <w:rFonts w:cs="Arial"/>
          <w:lang w:val="en-GB"/>
        </w:rPr>
        <w:t xml:space="preserve"> yields a summary window if there are no errors, or an error message as follows:</w:t>
      </w:r>
    </w:p>
    <w:p w:rsidR="00AE27BB" w:rsidRDefault="00AE27BB" w:rsidP="00AE27BB">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AE27BB" w:rsidRPr="007A74CC" w:rsidTr="00F50D25">
        <w:trPr>
          <w:cantSplit/>
          <w:tblHeader/>
        </w:trPr>
        <w:tc>
          <w:tcPr>
            <w:tcW w:w="3774" w:type="dxa"/>
            <w:shd w:val="clear" w:color="auto" w:fill="FFFF00"/>
          </w:tcPr>
          <w:p w:rsidR="00AE27BB" w:rsidRPr="007A74CC" w:rsidRDefault="00AE27BB" w:rsidP="00F50D25">
            <w:pPr>
              <w:tabs>
                <w:tab w:val="left" w:pos="3540"/>
              </w:tabs>
              <w:jc w:val="center"/>
              <w:rPr>
                <w:rFonts w:cs="Arial"/>
                <w:b/>
                <w:lang w:val="en-GB"/>
              </w:rPr>
            </w:pPr>
            <w:r w:rsidRPr="007A74CC">
              <w:rPr>
                <w:rFonts w:cs="Arial"/>
                <w:b/>
                <w:lang w:val="en-GB"/>
              </w:rPr>
              <w:t>Input Field</w:t>
            </w:r>
          </w:p>
        </w:tc>
        <w:tc>
          <w:tcPr>
            <w:tcW w:w="5243" w:type="dxa"/>
            <w:shd w:val="clear" w:color="auto" w:fill="FFFF00"/>
          </w:tcPr>
          <w:p w:rsidR="00AE27BB" w:rsidRPr="007A74CC" w:rsidRDefault="00AE27BB" w:rsidP="00F50D25">
            <w:pPr>
              <w:tabs>
                <w:tab w:val="left" w:pos="1785"/>
              </w:tabs>
              <w:jc w:val="center"/>
              <w:rPr>
                <w:rFonts w:cs="Arial"/>
                <w:b/>
                <w:lang w:val="en-GB"/>
              </w:rPr>
            </w:pPr>
            <w:r>
              <w:rPr>
                <w:rFonts w:cs="Arial"/>
                <w:b/>
                <w:lang w:val="en-GB"/>
              </w:rPr>
              <w:t>Condition</w:t>
            </w:r>
          </w:p>
        </w:tc>
      </w:tr>
      <w:tr w:rsidR="00AE27BB" w:rsidTr="00F50D25">
        <w:trPr>
          <w:cantSplit/>
        </w:trPr>
        <w:tc>
          <w:tcPr>
            <w:tcW w:w="3774" w:type="dxa"/>
          </w:tcPr>
          <w:p w:rsidR="00AE27BB" w:rsidRPr="00337B1D" w:rsidRDefault="00AE27BB" w:rsidP="00F50D25">
            <w:pPr>
              <w:pStyle w:val="Style1"/>
            </w:pPr>
            <w:r>
              <w:rPr>
                <w:rStyle w:val="Style1Char"/>
                <w:b/>
              </w:rPr>
              <w:t>Type</w:t>
            </w:r>
          </w:p>
        </w:tc>
        <w:tc>
          <w:tcPr>
            <w:tcW w:w="5243" w:type="dxa"/>
          </w:tcPr>
          <w:p w:rsidR="00AE27BB" w:rsidRDefault="00AE27BB" w:rsidP="00F50D25">
            <w:pPr>
              <w:tabs>
                <w:tab w:val="left" w:pos="3540"/>
              </w:tabs>
              <w:rPr>
                <w:rFonts w:cs="Arial"/>
                <w:lang w:val="en-GB"/>
              </w:rPr>
            </w:pPr>
            <w:r>
              <w:rPr>
                <w:rFonts w:cs="Arial"/>
                <w:lang w:val="en-GB"/>
              </w:rPr>
              <w:t>Not in the drop-down list</w:t>
            </w:r>
          </w:p>
        </w:tc>
      </w:tr>
      <w:tr w:rsidR="00AE27BB" w:rsidTr="00F50D25">
        <w:trPr>
          <w:cantSplit/>
        </w:trPr>
        <w:tc>
          <w:tcPr>
            <w:tcW w:w="3774" w:type="dxa"/>
          </w:tcPr>
          <w:p w:rsidR="00AE27BB" w:rsidRPr="00337B1D" w:rsidRDefault="00AE27BB" w:rsidP="00F50D25">
            <w:pPr>
              <w:pStyle w:val="Style1"/>
            </w:pPr>
            <w:r>
              <w:rPr>
                <w:rStyle w:val="Style1Char"/>
                <w:b/>
              </w:rPr>
              <w:t>Category</w:t>
            </w:r>
          </w:p>
        </w:tc>
        <w:tc>
          <w:tcPr>
            <w:tcW w:w="5243" w:type="dxa"/>
          </w:tcPr>
          <w:p w:rsidR="00AE27BB" w:rsidRDefault="00AE27BB" w:rsidP="00F50D25">
            <w:pPr>
              <w:tabs>
                <w:tab w:val="left" w:pos="3540"/>
              </w:tabs>
              <w:rPr>
                <w:rFonts w:cs="Arial"/>
                <w:lang w:val="en-GB"/>
              </w:rPr>
            </w:pPr>
            <w:r>
              <w:rPr>
                <w:rFonts w:cs="Arial"/>
                <w:lang w:val="en-GB"/>
              </w:rPr>
              <w:t>Not in the drop-down list</w:t>
            </w:r>
          </w:p>
        </w:tc>
      </w:tr>
      <w:tr w:rsidR="00AE27BB" w:rsidTr="00F50D25">
        <w:trPr>
          <w:cantSplit/>
        </w:trPr>
        <w:tc>
          <w:tcPr>
            <w:tcW w:w="3774" w:type="dxa"/>
          </w:tcPr>
          <w:p w:rsidR="00AE27BB" w:rsidRPr="00045EE4" w:rsidRDefault="00AE27BB" w:rsidP="00045EE4">
            <w:pPr>
              <w:pStyle w:val="Style1"/>
              <w:rPr>
                <w:rStyle w:val="Style1Char"/>
                <w:b/>
              </w:rPr>
            </w:pPr>
            <w:r w:rsidRPr="00045EE4">
              <w:rPr>
                <w:rStyle w:val="Style1Char"/>
                <w:b/>
              </w:rPr>
              <w:t>Target Completion Date</w:t>
            </w:r>
          </w:p>
        </w:tc>
        <w:tc>
          <w:tcPr>
            <w:tcW w:w="5243" w:type="dxa"/>
          </w:tcPr>
          <w:p w:rsidR="00AE27BB" w:rsidRDefault="00AE27BB" w:rsidP="00F50D25">
            <w:pPr>
              <w:tabs>
                <w:tab w:val="left" w:pos="3540"/>
              </w:tabs>
              <w:rPr>
                <w:rFonts w:cs="Arial"/>
                <w:lang w:val="en-GB"/>
              </w:rPr>
            </w:pPr>
            <w:r>
              <w:rPr>
                <w:rFonts w:cs="Arial"/>
                <w:lang w:val="en-GB"/>
              </w:rPr>
              <w:t>Text value</w:t>
            </w:r>
            <w:r w:rsidR="00045EE4">
              <w:rPr>
                <w:rFonts w:cs="Arial"/>
                <w:lang w:val="en-GB"/>
              </w:rPr>
              <w:t>,</w:t>
            </w:r>
            <w:r>
              <w:rPr>
                <w:rFonts w:cs="Arial"/>
                <w:lang w:val="en-GB"/>
              </w:rPr>
              <w:t xml:space="preserve"> or blank</w:t>
            </w:r>
            <w:r w:rsidR="00045EE4">
              <w:rPr>
                <w:rFonts w:cs="Arial"/>
                <w:lang w:val="en-GB"/>
              </w:rPr>
              <w:t>, or not a proper date</w:t>
            </w:r>
          </w:p>
        </w:tc>
      </w:tr>
      <w:tr w:rsidR="00AE27BB" w:rsidTr="00F50D25">
        <w:trPr>
          <w:cantSplit/>
        </w:trPr>
        <w:tc>
          <w:tcPr>
            <w:tcW w:w="3774" w:type="dxa"/>
          </w:tcPr>
          <w:p w:rsidR="00AE27BB" w:rsidRPr="0042257D" w:rsidRDefault="00AE27BB" w:rsidP="00F50D25">
            <w:pPr>
              <w:pStyle w:val="Style1"/>
              <w:rPr>
                <w:rStyle w:val="Style1Char"/>
                <w:b/>
              </w:rPr>
            </w:pPr>
            <w:r w:rsidRPr="0042257D">
              <w:rPr>
                <w:rStyle w:val="Style1Char"/>
                <w:b/>
              </w:rPr>
              <w:t>Project Cost, PhP</w:t>
            </w:r>
          </w:p>
        </w:tc>
        <w:tc>
          <w:tcPr>
            <w:tcW w:w="5243" w:type="dxa"/>
          </w:tcPr>
          <w:p w:rsidR="00AE27BB" w:rsidRDefault="00AE27BB" w:rsidP="00F50D25">
            <w:pPr>
              <w:tabs>
                <w:tab w:val="left" w:pos="3540"/>
              </w:tabs>
              <w:rPr>
                <w:rFonts w:cs="Arial"/>
                <w:lang w:val="en-GB"/>
              </w:rPr>
            </w:pPr>
            <w:r>
              <w:rPr>
                <w:rFonts w:cs="Arial"/>
                <w:lang w:val="en-GB"/>
              </w:rPr>
              <w:t>Text value</w:t>
            </w:r>
          </w:p>
        </w:tc>
      </w:tr>
      <w:tr w:rsidR="00AE27BB" w:rsidTr="00F50D25">
        <w:trPr>
          <w:cantSplit/>
        </w:trPr>
        <w:tc>
          <w:tcPr>
            <w:tcW w:w="3774" w:type="dxa"/>
          </w:tcPr>
          <w:p w:rsidR="00AE27BB" w:rsidRPr="0042257D" w:rsidRDefault="00AE27BB" w:rsidP="00F50D25">
            <w:pPr>
              <w:pStyle w:val="Style1"/>
              <w:rPr>
                <w:rStyle w:val="Style1Char"/>
                <w:b/>
              </w:rPr>
            </w:pPr>
            <w:r w:rsidRPr="0042257D">
              <w:rPr>
                <w:rStyle w:val="Style1Char"/>
                <w:b/>
              </w:rPr>
              <w:t>Quantity (ckm, MVA, MVAr</w:t>
            </w:r>
            <w:r>
              <w:rPr>
                <w:rStyle w:val="Style1Char"/>
                <w:b/>
              </w:rPr>
              <w:t>, MW</w:t>
            </w:r>
            <w:r w:rsidRPr="0042257D">
              <w:rPr>
                <w:rStyle w:val="Style1Char"/>
                <w:b/>
              </w:rPr>
              <w:t>)</w:t>
            </w:r>
          </w:p>
        </w:tc>
        <w:tc>
          <w:tcPr>
            <w:tcW w:w="5243" w:type="dxa"/>
          </w:tcPr>
          <w:p w:rsidR="00AE27BB" w:rsidRDefault="00AE27BB" w:rsidP="00F50D25">
            <w:pPr>
              <w:tabs>
                <w:tab w:val="left" w:pos="3540"/>
              </w:tabs>
              <w:rPr>
                <w:rFonts w:cs="Arial"/>
                <w:lang w:val="en-GB"/>
              </w:rPr>
            </w:pPr>
            <w:r>
              <w:rPr>
                <w:rFonts w:cs="Arial"/>
                <w:lang w:val="en-GB"/>
              </w:rPr>
              <w:t>Text value</w:t>
            </w:r>
          </w:p>
        </w:tc>
      </w:tr>
    </w:tbl>
    <w:p w:rsidR="00AE27BB" w:rsidRDefault="00AE27BB" w:rsidP="00AE27BB">
      <w:pPr>
        <w:tabs>
          <w:tab w:val="left" w:pos="3540"/>
        </w:tabs>
        <w:rPr>
          <w:rFonts w:cs="Arial"/>
          <w:lang w:val="en-GB"/>
        </w:rPr>
      </w:pPr>
      <w:bookmarkStart w:id="0" w:name="_GoBack"/>
      <w:bookmarkEnd w:id="0"/>
    </w:p>
    <w:sectPr w:rsidR="00AE27BB" w:rsidSect="001438F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853" w:rsidRDefault="00D11853" w:rsidP="00C05D63">
      <w:r>
        <w:separator/>
      </w:r>
    </w:p>
  </w:endnote>
  <w:endnote w:type="continuationSeparator" w:id="0">
    <w:p w:rsidR="00D11853" w:rsidRDefault="00D11853" w:rsidP="00C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853" w:rsidRDefault="00D11853" w:rsidP="00C05D63">
      <w:r>
        <w:separator/>
      </w:r>
    </w:p>
  </w:footnote>
  <w:footnote w:type="continuationSeparator" w:id="0">
    <w:p w:rsidR="00D11853" w:rsidRDefault="00D11853" w:rsidP="00C0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3477"/>
    <w:multiLevelType w:val="hybridMultilevel"/>
    <w:tmpl w:val="E4C4C2A8"/>
    <w:lvl w:ilvl="0" w:tplc="639A62FC">
      <w:start w:val="1"/>
      <w:numFmt w:val="bullet"/>
      <w:lvlText w:val=""/>
      <w:lvlJc w:val="left"/>
      <w:pPr>
        <w:tabs>
          <w:tab w:val="num" w:pos="720"/>
        </w:tabs>
        <w:ind w:left="720" w:hanging="360"/>
      </w:pPr>
      <w:rPr>
        <w:rFonts w:ascii="Wingdings" w:hAnsi="Wingdings" w:hint="default"/>
      </w:rPr>
    </w:lvl>
    <w:lvl w:ilvl="1" w:tplc="CE90E86E" w:tentative="1">
      <w:start w:val="1"/>
      <w:numFmt w:val="bullet"/>
      <w:lvlText w:val=""/>
      <w:lvlJc w:val="left"/>
      <w:pPr>
        <w:tabs>
          <w:tab w:val="num" w:pos="1440"/>
        </w:tabs>
        <w:ind w:left="1440" w:hanging="360"/>
      </w:pPr>
      <w:rPr>
        <w:rFonts w:ascii="Wingdings" w:hAnsi="Wingdings" w:hint="default"/>
      </w:rPr>
    </w:lvl>
    <w:lvl w:ilvl="2" w:tplc="813C81D6" w:tentative="1">
      <w:start w:val="1"/>
      <w:numFmt w:val="bullet"/>
      <w:lvlText w:val=""/>
      <w:lvlJc w:val="left"/>
      <w:pPr>
        <w:tabs>
          <w:tab w:val="num" w:pos="2160"/>
        </w:tabs>
        <w:ind w:left="2160" w:hanging="360"/>
      </w:pPr>
      <w:rPr>
        <w:rFonts w:ascii="Wingdings" w:hAnsi="Wingdings" w:hint="default"/>
      </w:rPr>
    </w:lvl>
    <w:lvl w:ilvl="3" w:tplc="7D2EEE3C" w:tentative="1">
      <w:start w:val="1"/>
      <w:numFmt w:val="bullet"/>
      <w:lvlText w:val=""/>
      <w:lvlJc w:val="left"/>
      <w:pPr>
        <w:tabs>
          <w:tab w:val="num" w:pos="2880"/>
        </w:tabs>
        <w:ind w:left="2880" w:hanging="360"/>
      </w:pPr>
      <w:rPr>
        <w:rFonts w:ascii="Wingdings" w:hAnsi="Wingdings" w:hint="default"/>
      </w:rPr>
    </w:lvl>
    <w:lvl w:ilvl="4" w:tplc="3148F826" w:tentative="1">
      <w:start w:val="1"/>
      <w:numFmt w:val="bullet"/>
      <w:lvlText w:val=""/>
      <w:lvlJc w:val="left"/>
      <w:pPr>
        <w:tabs>
          <w:tab w:val="num" w:pos="3600"/>
        </w:tabs>
        <w:ind w:left="3600" w:hanging="360"/>
      </w:pPr>
      <w:rPr>
        <w:rFonts w:ascii="Wingdings" w:hAnsi="Wingdings" w:hint="default"/>
      </w:rPr>
    </w:lvl>
    <w:lvl w:ilvl="5" w:tplc="4CACF276" w:tentative="1">
      <w:start w:val="1"/>
      <w:numFmt w:val="bullet"/>
      <w:lvlText w:val=""/>
      <w:lvlJc w:val="left"/>
      <w:pPr>
        <w:tabs>
          <w:tab w:val="num" w:pos="4320"/>
        </w:tabs>
        <w:ind w:left="4320" w:hanging="360"/>
      </w:pPr>
      <w:rPr>
        <w:rFonts w:ascii="Wingdings" w:hAnsi="Wingdings" w:hint="default"/>
      </w:rPr>
    </w:lvl>
    <w:lvl w:ilvl="6" w:tplc="48B0E646" w:tentative="1">
      <w:start w:val="1"/>
      <w:numFmt w:val="bullet"/>
      <w:lvlText w:val=""/>
      <w:lvlJc w:val="left"/>
      <w:pPr>
        <w:tabs>
          <w:tab w:val="num" w:pos="5040"/>
        </w:tabs>
        <w:ind w:left="5040" w:hanging="360"/>
      </w:pPr>
      <w:rPr>
        <w:rFonts w:ascii="Wingdings" w:hAnsi="Wingdings" w:hint="default"/>
      </w:rPr>
    </w:lvl>
    <w:lvl w:ilvl="7" w:tplc="CDA022DA" w:tentative="1">
      <w:start w:val="1"/>
      <w:numFmt w:val="bullet"/>
      <w:lvlText w:val=""/>
      <w:lvlJc w:val="left"/>
      <w:pPr>
        <w:tabs>
          <w:tab w:val="num" w:pos="5760"/>
        </w:tabs>
        <w:ind w:left="5760" w:hanging="360"/>
      </w:pPr>
      <w:rPr>
        <w:rFonts w:ascii="Wingdings" w:hAnsi="Wingdings" w:hint="default"/>
      </w:rPr>
    </w:lvl>
    <w:lvl w:ilvl="8" w:tplc="8482FF24" w:tentative="1">
      <w:start w:val="1"/>
      <w:numFmt w:val="bullet"/>
      <w:lvlText w:val=""/>
      <w:lvlJc w:val="left"/>
      <w:pPr>
        <w:tabs>
          <w:tab w:val="num" w:pos="6480"/>
        </w:tabs>
        <w:ind w:left="6480" w:hanging="360"/>
      </w:pPr>
      <w:rPr>
        <w:rFonts w:ascii="Wingdings" w:hAnsi="Wingdings" w:hint="default"/>
      </w:rPr>
    </w:lvl>
  </w:abstractNum>
  <w:abstractNum w:abstractNumId="1">
    <w:nsid w:val="0D507800"/>
    <w:multiLevelType w:val="hybridMultilevel"/>
    <w:tmpl w:val="B8563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0442E"/>
    <w:multiLevelType w:val="hybridMultilevel"/>
    <w:tmpl w:val="C508614E"/>
    <w:lvl w:ilvl="0" w:tplc="6E52C7D6">
      <w:start w:val="1"/>
      <w:numFmt w:val="bullet"/>
      <w:lvlText w:val=""/>
      <w:lvlJc w:val="left"/>
      <w:pPr>
        <w:tabs>
          <w:tab w:val="num" w:pos="720"/>
        </w:tabs>
        <w:ind w:left="720" w:hanging="360"/>
      </w:pPr>
      <w:rPr>
        <w:rFonts w:ascii="Wingdings" w:hAnsi="Wingdings" w:hint="default"/>
      </w:rPr>
    </w:lvl>
    <w:lvl w:ilvl="1" w:tplc="DDF8F2AE" w:tentative="1">
      <w:start w:val="1"/>
      <w:numFmt w:val="bullet"/>
      <w:lvlText w:val=""/>
      <w:lvlJc w:val="left"/>
      <w:pPr>
        <w:tabs>
          <w:tab w:val="num" w:pos="1440"/>
        </w:tabs>
        <w:ind w:left="1440" w:hanging="360"/>
      </w:pPr>
      <w:rPr>
        <w:rFonts w:ascii="Wingdings" w:hAnsi="Wingdings" w:hint="default"/>
      </w:rPr>
    </w:lvl>
    <w:lvl w:ilvl="2" w:tplc="9FC4B53C" w:tentative="1">
      <w:start w:val="1"/>
      <w:numFmt w:val="bullet"/>
      <w:lvlText w:val=""/>
      <w:lvlJc w:val="left"/>
      <w:pPr>
        <w:tabs>
          <w:tab w:val="num" w:pos="2160"/>
        </w:tabs>
        <w:ind w:left="2160" w:hanging="360"/>
      </w:pPr>
      <w:rPr>
        <w:rFonts w:ascii="Wingdings" w:hAnsi="Wingdings" w:hint="default"/>
      </w:rPr>
    </w:lvl>
    <w:lvl w:ilvl="3" w:tplc="686697BA" w:tentative="1">
      <w:start w:val="1"/>
      <w:numFmt w:val="bullet"/>
      <w:lvlText w:val=""/>
      <w:lvlJc w:val="left"/>
      <w:pPr>
        <w:tabs>
          <w:tab w:val="num" w:pos="2880"/>
        </w:tabs>
        <w:ind w:left="2880" w:hanging="360"/>
      </w:pPr>
      <w:rPr>
        <w:rFonts w:ascii="Wingdings" w:hAnsi="Wingdings" w:hint="default"/>
      </w:rPr>
    </w:lvl>
    <w:lvl w:ilvl="4" w:tplc="4208B6D8" w:tentative="1">
      <w:start w:val="1"/>
      <w:numFmt w:val="bullet"/>
      <w:lvlText w:val=""/>
      <w:lvlJc w:val="left"/>
      <w:pPr>
        <w:tabs>
          <w:tab w:val="num" w:pos="3600"/>
        </w:tabs>
        <w:ind w:left="3600" w:hanging="360"/>
      </w:pPr>
      <w:rPr>
        <w:rFonts w:ascii="Wingdings" w:hAnsi="Wingdings" w:hint="default"/>
      </w:rPr>
    </w:lvl>
    <w:lvl w:ilvl="5" w:tplc="191CC258" w:tentative="1">
      <w:start w:val="1"/>
      <w:numFmt w:val="bullet"/>
      <w:lvlText w:val=""/>
      <w:lvlJc w:val="left"/>
      <w:pPr>
        <w:tabs>
          <w:tab w:val="num" w:pos="4320"/>
        </w:tabs>
        <w:ind w:left="4320" w:hanging="360"/>
      </w:pPr>
      <w:rPr>
        <w:rFonts w:ascii="Wingdings" w:hAnsi="Wingdings" w:hint="default"/>
      </w:rPr>
    </w:lvl>
    <w:lvl w:ilvl="6" w:tplc="3F9E0E86" w:tentative="1">
      <w:start w:val="1"/>
      <w:numFmt w:val="bullet"/>
      <w:lvlText w:val=""/>
      <w:lvlJc w:val="left"/>
      <w:pPr>
        <w:tabs>
          <w:tab w:val="num" w:pos="5040"/>
        </w:tabs>
        <w:ind w:left="5040" w:hanging="360"/>
      </w:pPr>
      <w:rPr>
        <w:rFonts w:ascii="Wingdings" w:hAnsi="Wingdings" w:hint="default"/>
      </w:rPr>
    </w:lvl>
    <w:lvl w:ilvl="7" w:tplc="96165D24" w:tentative="1">
      <w:start w:val="1"/>
      <w:numFmt w:val="bullet"/>
      <w:lvlText w:val=""/>
      <w:lvlJc w:val="left"/>
      <w:pPr>
        <w:tabs>
          <w:tab w:val="num" w:pos="5760"/>
        </w:tabs>
        <w:ind w:left="5760" w:hanging="360"/>
      </w:pPr>
      <w:rPr>
        <w:rFonts w:ascii="Wingdings" w:hAnsi="Wingdings" w:hint="default"/>
      </w:rPr>
    </w:lvl>
    <w:lvl w:ilvl="8" w:tplc="851027E6" w:tentative="1">
      <w:start w:val="1"/>
      <w:numFmt w:val="bullet"/>
      <w:lvlText w:val=""/>
      <w:lvlJc w:val="left"/>
      <w:pPr>
        <w:tabs>
          <w:tab w:val="num" w:pos="6480"/>
        </w:tabs>
        <w:ind w:left="6480" w:hanging="360"/>
      </w:pPr>
      <w:rPr>
        <w:rFonts w:ascii="Wingdings" w:hAnsi="Wingdings" w:hint="default"/>
      </w:rPr>
    </w:lvl>
  </w:abstractNum>
  <w:abstractNum w:abstractNumId="3">
    <w:nsid w:val="173C7C23"/>
    <w:multiLevelType w:val="hybridMultilevel"/>
    <w:tmpl w:val="20221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D5163"/>
    <w:multiLevelType w:val="hybridMultilevel"/>
    <w:tmpl w:val="29561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85514"/>
    <w:multiLevelType w:val="hybridMultilevel"/>
    <w:tmpl w:val="29309DB4"/>
    <w:lvl w:ilvl="0" w:tplc="76C27DB6">
      <w:start w:val="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9F37A45"/>
    <w:multiLevelType w:val="hybridMultilevel"/>
    <w:tmpl w:val="F230D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B5DE2"/>
    <w:multiLevelType w:val="hybridMultilevel"/>
    <w:tmpl w:val="D5C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5444B"/>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469EE"/>
    <w:multiLevelType w:val="multilevel"/>
    <w:tmpl w:val="35A0858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FA4DFA"/>
    <w:multiLevelType w:val="hybridMultilevel"/>
    <w:tmpl w:val="5D447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0038"/>
    <w:multiLevelType w:val="hybridMultilevel"/>
    <w:tmpl w:val="1E24BF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073AB"/>
    <w:multiLevelType w:val="hybridMultilevel"/>
    <w:tmpl w:val="8C88C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5125F"/>
    <w:multiLevelType w:val="hybridMultilevel"/>
    <w:tmpl w:val="F16C7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42F24"/>
    <w:multiLevelType w:val="hybridMultilevel"/>
    <w:tmpl w:val="7E724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E4112"/>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8360F"/>
    <w:multiLevelType w:val="hybridMultilevel"/>
    <w:tmpl w:val="3C840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E52BC"/>
    <w:multiLevelType w:val="hybridMultilevel"/>
    <w:tmpl w:val="59905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0E260C"/>
    <w:multiLevelType w:val="hybridMultilevel"/>
    <w:tmpl w:val="881E66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B5769"/>
    <w:multiLevelType w:val="hybridMultilevel"/>
    <w:tmpl w:val="3C3C15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370A1"/>
    <w:multiLevelType w:val="hybridMultilevel"/>
    <w:tmpl w:val="DF64AA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A3AB0"/>
    <w:multiLevelType w:val="hybridMultilevel"/>
    <w:tmpl w:val="1EB452F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66537"/>
    <w:multiLevelType w:val="hybridMultilevel"/>
    <w:tmpl w:val="5D3A0D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235F0"/>
    <w:multiLevelType w:val="hybridMultilevel"/>
    <w:tmpl w:val="4AE6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B62435"/>
    <w:multiLevelType w:val="hybridMultilevel"/>
    <w:tmpl w:val="74E61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11"/>
  </w:num>
  <w:num w:numId="5">
    <w:abstractNumId w:val="5"/>
  </w:num>
  <w:num w:numId="6">
    <w:abstractNumId w:val="16"/>
  </w:num>
  <w:num w:numId="7">
    <w:abstractNumId w:val="19"/>
  </w:num>
  <w:num w:numId="8">
    <w:abstractNumId w:val="7"/>
  </w:num>
  <w:num w:numId="9">
    <w:abstractNumId w:val="17"/>
  </w:num>
  <w:num w:numId="10">
    <w:abstractNumId w:val="18"/>
  </w:num>
  <w:num w:numId="11">
    <w:abstractNumId w:val="6"/>
  </w:num>
  <w:num w:numId="12">
    <w:abstractNumId w:val="14"/>
  </w:num>
  <w:num w:numId="13">
    <w:abstractNumId w:val="4"/>
  </w:num>
  <w:num w:numId="14">
    <w:abstractNumId w:val="10"/>
  </w:num>
  <w:num w:numId="15">
    <w:abstractNumId w:val="13"/>
  </w:num>
  <w:num w:numId="16">
    <w:abstractNumId w:val="1"/>
  </w:num>
  <w:num w:numId="17">
    <w:abstractNumId w:val="22"/>
  </w:num>
  <w:num w:numId="18">
    <w:abstractNumId w:val="2"/>
  </w:num>
  <w:num w:numId="19">
    <w:abstractNumId w:val="12"/>
  </w:num>
  <w:num w:numId="20">
    <w:abstractNumId w:val="0"/>
  </w:num>
  <w:num w:numId="21">
    <w:abstractNumId w:val="21"/>
  </w:num>
  <w:num w:numId="22">
    <w:abstractNumId w:val="3"/>
  </w:num>
  <w:num w:numId="23">
    <w:abstractNumId w:val="2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CD"/>
    <w:rsid w:val="00001500"/>
    <w:rsid w:val="0000261D"/>
    <w:rsid w:val="00002893"/>
    <w:rsid w:val="00003A81"/>
    <w:rsid w:val="000045BC"/>
    <w:rsid w:val="000311FE"/>
    <w:rsid w:val="00031616"/>
    <w:rsid w:val="00035BD1"/>
    <w:rsid w:val="00041919"/>
    <w:rsid w:val="000439EF"/>
    <w:rsid w:val="000447C5"/>
    <w:rsid w:val="00045EE4"/>
    <w:rsid w:val="0004743B"/>
    <w:rsid w:val="000560F2"/>
    <w:rsid w:val="00061201"/>
    <w:rsid w:val="0006543E"/>
    <w:rsid w:val="000737F8"/>
    <w:rsid w:val="000751CD"/>
    <w:rsid w:val="00075832"/>
    <w:rsid w:val="000775AA"/>
    <w:rsid w:val="00080001"/>
    <w:rsid w:val="000803DF"/>
    <w:rsid w:val="00082BAA"/>
    <w:rsid w:val="00084521"/>
    <w:rsid w:val="00087640"/>
    <w:rsid w:val="0009329F"/>
    <w:rsid w:val="000979DE"/>
    <w:rsid w:val="000A1A9B"/>
    <w:rsid w:val="000A3509"/>
    <w:rsid w:val="000A7B8D"/>
    <w:rsid w:val="000B00A6"/>
    <w:rsid w:val="000B42D5"/>
    <w:rsid w:val="000B47E9"/>
    <w:rsid w:val="000B68C9"/>
    <w:rsid w:val="000C3812"/>
    <w:rsid w:val="000C48E9"/>
    <w:rsid w:val="000C768E"/>
    <w:rsid w:val="000D14F5"/>
    <w:rsid w:val="000D3AE0"/>
    <w:rsid w:val="000D5DC0"/>
    <w:rsid w:val="000D7B70"/>
    <w:rsid w:val="000E1F30"/>
    <w:rsid w:val="000E6876"/>
    <w:rsid w:val="000F226E"/>
    <w:rsid w:val="000F34CD"/>
    <w:rsid w:val="000F7B3F"/>
    <w:rsid w:val="0010009E"/>
    <w:rsid w:val="001042C3"/>
    <w:rsid w:val="00104541"/>
    <w:rsid w:val="00110D57"/>
    <w:rsid w:val="0012222C"/>
    <w:rsid w:val="001245D6"/>
    <w:rsid w:val="00124F72"/>
    <w:rsid w:val="00125CC2"/>
    <w:rsid w:val="00132FE9"/>
    <w:rsid w:val="00134326"/>
    <w:rsid w:val="001438F0"/>
    <w:rsid w:val="00144BBC"/>
    <w:rsid w:val="00147A39"/>
    <w:rsid w:val="00150673"/>
    <w:rsid w:val="001511D3"/>
    <w:rsid w:val="0015443F"/>
    <w:rsid w:val="001573E6"/>
    <w:rsid w:val="001627A3"/>
    <w:rsid w:val="00164335"/>
    <w:rsid w:val="00166FF7"/>
    <w:rsid w:val="00171012"/>
    <w:rsid w:val="00173341"/>
    <w:rsid w:val="00175321"/>
    <w:rsid w:val="00177C9D"/>
    <w:rsid w:val="001828B1"/>
    <w:rsid w:val="00183A1C"/>
    <w:rsid w:val="00183B3B"/>
    <w:rsid w:val="001904EE"/>
    <w:rsid w:val="00193A47"/>
    <w:rsid w:val="001A49B2"/>
    <w:rsid w:val="001A7330"/>
    <w:rsid w:val="001B0698"/>
    <w:rsid w:val="001C0E7E"/>
    <w:rsid w:val="001E3C9E"/>
    <w:rsid w:val="001E5B95"/>
    <w:rsid w:val="001E641D"/>
    <w:rsid w:val="001E6B92"/>
    <w:rsid w:val="001F4A58"/>
    <w:rsid w:val="001F4E64"/>
    <w:rsid w:val="001F710E"/>
    <w:rsid w:val="00203CFF"/>
    <w:rsid w:val="00205FCF"/>
    <w:rsid w:val="002077A1"/>
    <w:rsid w:val="002079C4"/>
    <w:rsid w:val="00211DC3"/>
    <w:rsid w:val="002139C6"/>
    <w:rsid w:val="00217590"/>
    <w:rsid w:val="00220205"/>
    <w:rsid w:val="00220B33"/>
    <w:rsid w:val="002218AA"/>
    <w:rsid w:val="00222264"/>
    <w:rsid w:val="002228BF"/>
    <w:rsid w:val="00230319"/>
    <w:rsid w:val="00231C23"/>
    <w:rsid w:val="00241469"/>
    <w:rsid w:val="002426E1"/>
    <w:rsid w:val="00243E31"/>
    <w:rsid w:val="00246027"/>
    <w:rsid w:val="00247B74"/>
    <w:rsid w:val="00247F72"/>
    <w:rsid w:val="00253666"/>
    <w:rsid w:val="00253DA6"/>
    <w:rsid w:val="00254808"/>
    <w:rsid w:val="00254B48"/>
    <w:rsid w:val="002550E7"/>
    <w:rsid w:val="00256E8B"/>
    <w:rsid w:val="00267354"/>
    <w:rsid w:val="002728D2"/>
    <w:rsid w:val="00280AD9"/>
    <w:rsid w:val="00292666"/>
    <w:rsid w:val="00293948"/>
    <w:rsid w:val="00297F1D"/>
    <w:rsid w:val="002A3116"/>
    <w:rsid w:val="002A6D23"/>
    <w:rsid w:val="002B1B6A"/>
    <w:rsid w:val="002B3004"/>
    <w:rsid w:val="002B3F83"/>
    <w:rsid w:val="002C1683"/>
    <w:rsid w:val="002C1E1C"/>
    <w:rsid w:val="002C33C3"/>
    <w:rsid w:val="002D45BF"/>
    <w:rsid w:val="002D6870"/>
    <w:rsid w:val="002E0CFC"/>
    <w:rsid w:val="002E0F27"/>
    <w:rsid w:val="002F5EEA"/>
    <w:rsid w:val="00301D78"/>
    <w:rsid w:val="003121AB"/>
    <w:rsid w:val="0031349E"/>
    <w:rsid w:val="00314E91"/>
    <w:rsid w:val="00320FF2"/>
    <w:rsid w:val="003215C4"/>
    <w:rsid w:val="00325014"/>
    <w:rsid w:val="00331EC2"/>
    <w:rsid w:val="00332F4C"/>
    <w:rsid w:val="00344E9A"/>
    <w:rsid w:val="003450F2"/>
    <w:rsid w:val="003458B1"/>
    <w:rsid w:val="003466F5"/>
    <w:rsid w:val="00362A97"/>
    <w:rsid w:val="00365CE9"/>
    <w:rsid w:val="003672BD"/>
    <w:rsid w:val="00370B34"/>
    <w:rsid w:val="003721D1"/>
    <w:rsid w:val="0037341D"/>
    <w:rsid w:val="00375B58"/>
    <w:rsid w:val="00377D90"/>
    <w:rsid w:val="0038053A"/>
    <w:rsid w:val="00390322"/>
    <w:rsid w:val="00392D57"/>
    <w:rsid w:val="00393891"/>
    <w:rsid w:val="00396DDE"/>
    <w:rsid w:val="003A3A7E"/>
    <w:rsid w:val="003C3F34"/>
    <w:rsid w:val="003D490F"/>
    <w:rsid w:val="003D59E9"/>
    <w:rsid w:val="003D7576"/>
    <w:rsid w:val="003D7634"/>
    <w:rsid w:val="003E36C9"/>
    <w:rsid w:val="003E4C88"/>
    <w:rsid w:val="003F0341"/>
    <w:rsid w:val="003F2914"/>
    <w:rsid w:val="003F4AB8"/>
    <w:rsid w:val="003F7768"/>
    <w:rsid w:val="0040236C"/>
    <w:rsid w:val="00405348"/>
    <w:rsid w:val="00406BCE"/>
    <w:rsid w:val="00406ED8"/>
    <w:rsid w:val="0041432A"/>
    <w:rsid w:val="00414519"/>
    <w:rsid w:val="00424649"/>
    <w:rsid w:val="00426AE6"/>
    <w:rsid w:val="00432AAC"/>
    <w:rsid w:val="00434827"/>
    <w:rsid w:val="00436C13"/>
    <w:rsid w:val="00437DAC"/>
    <w:rsid w:val="004402E6"/>
    <w:rsid w:val="0044039A"/>
    <w:rsid w:val="00440FD4"/>
    <w:rsid w:val="00444BF4"/>
    <w:rsid w:val="0044510C"/>
    <w:rsid w:val="00447534"/>
    <w:rsid w:val="00452809"/>
    <w:rsid w:val="00471397"/>
    <w:rsid w:val="00474F36"/>
    <w:rsid w:val="004754F5"/>
    <w:rsid w:val="00486925"/>
    <w:rsid w:val="00492314"/>
    <w:rsid w:val="00492935"/>
    <w:rsid w:val="004959CE"/>
    <w:rsid w:val="004A3FDB"/>
    <w:rsid w:val="004A55F5"/>
    <w:rsid w:val="004A5A71"/>
    <w:rsid w:val="004A7691"/>
    <w:rsid w:val="004B09CB"/>
    <w:rsid w:val="004B248F"/>
    <w:rsid w:val="004B24BD"/>
    <w:rsid w:val="004B3984"/>
    <w:rsid w:val="004C1981"/>
    <w:rsid w:val="004C7473"/>
    <w:rsid w:val="004C7559"/>
    <w:rsid w:val="004D05B3"/>
    <w:rsid w:val="004D471D"/>
    <w:rsid w:val="004D6F29"/>
    <w:rsid w:val="004D74D7"/>
    <w:rsid w:val="004D7F8B"/>
    <w:rsid w:val="004E000A"/>
    <w:rsid w:val="004E08B0"/>
    <w:rsid w:val="004E15E0"/>
    <w:rsid w:val="004E1C51"/>
    <w:rsid w:val="004E30CA"/>
    <w:rsid w:val="004E3FAB"/>
    <w:rsid w:val="004E5F35"/>
    <w:rsid w:val="004F576B"/>
    <w:rsid w:val="004F5F55"/>
    <w:rsid w:val="0050219A"/>
    <w:rsid w:val="00502A07"/>
    <w:rsid w:val="00504F82"/>
    <w:rsid w:val="005063DB"/>
    <w:rsid w:val="005067C0"/>
    <w:rsid w:val="00507EA1"/>
    <w:rsid w:val="00512ACC"/>
    <w:rsid w:val="00513D90"/>
    <w:rsid w:val="00514902"/>
    <w:rsid w:val="005152EF"/>
    <w:rsid w:val="00517589"/>
    <w:rsid w:val="005237CE"/>
    <w:rsid w:val="00523AD9"/>
    <w:rsid w:val="005318E6"/>
    <w:rsid w:val="005323B4"/>
    <w:rsid w:val="00545EA9"/>
    <w:rsid w:val="00550347"/>
    <w:rsid w:val="00552089"/>
    <w:rsid w:val="00554DE6"/>
    <w:rsid w:val="0056061D"/>
    <w:rsid w:val="00564E95"/>
    <w:rsid w:val="00570F1B"/>
    <w:rsid w:val="00582DED"/>
    <w:rsid w:val="00585E85"/>
    <w:rsid w:val="00591923"/>
    <w:rsid w:val="005945FB"/>
    <w:rsid w:val="0059640D"/>
    <w:rsid w:val="00596C1F"/>
    <w:rsid w:val="00597804"/>
    <w:rsid w:val="005A0B6F"/>
    <w:rsid w:val="005A15FF"/>
    <w:rsid w:val="005A57B0"/>
    <w:rsid w:val="005A6517"/>
    <w:rsid w:val="005A66E1"/>
    <w:rsid w:val="005B0256"/>
    <w:rsid w:val="005B6D59"/>
    <w:rsid w:val="005B7183"/>
    <w:rsid w:val="005C6023"/>
    <w:rsid w:val="005C7FB5"/>
    <w:rsid w:val="005D09A2"/>
    <w:rsid w:val="005D35DD"/>
    <w:rsid w:val="005D7C58"/>
    <w:rsid w:val="005E28CD"/>
    <w:rsid w:val="005E3F8A"/>
    <w:rsid w:val="005E64F3"/>
    <w:rsid w:val="005E6834"/>
    <w:rsid w:val="005F04C0"/>
    <w:rsid w:val="005F0A72"/>
    <w:rsid w:val="005F235B"/>
    <w:rsid w:val="005F2BDE"/>
    <w:rsid w:val="005F2C5F"/>
    <w:rsid w:val="005F43FB"/>
    <w:rsid w:val="005F45A5"/>
    <w:rsid w:val="005F7033"/>
    <w:rsid w:val="006018AF"/>
    <w:rsid w:val="00602571"/>
    <w:rsid w:val="006026D0"/>
    <w:rsid w:val="0060427A"/>
    <w:rsid w:val="00610EB3"/>
    <w:rsid w:val="00612578"/>
    <w:rsid w:val="00613144"/>
    <w:rsid w:val="00617B2D"/>
    <w:rsid w:val="00620FB6"/>
    <w:rsid w:val="00621B78"/>
    <w:rsid w:val="00625ED6"/>
    <w:rsid w:val="00634862"/>
    <w:rsid w:val="00640A96"/>
    <w:rsid w:val="00653349"/>
    <w:rsid w:val="00655ED7"/>
    <w:rsid w:val="0066291A"/>
    <w:rsid w:val="006655E3"/>
    <w:rsid w:val="00667B9A"/>
    <w:rsid w:val="00671FA6"/>
    <w:rsid w:val="00684F6D"/>
    <w:rsid w:val="00687310"/>
    <w:rsid w:val="00691AB5"/>
    <w:rsid w:val="00692737"/>
    <w:rsid w:val="00693563"/>
    <w:rsid w:val="0069396F"/>
    <w:rsid w:val="00694C9A"/>
    <w:rsid w:val="00695486"/>
    <w:rsid w:val="0069589E"/>
    <w:rsid w:val="00695BA2"/>
    <w:rsid w:val="00697302"/>
    <w:rsid w:val="006A0686"/>
    <w:rsid w:val="006A2E7C"/>
    <w:rsid w:val="006B1F6D"/>
    <w:rsid w:val="006C056F"/>
    <w:rsid w:val="006C5035"/>
    <w:rsid w:val="006C6618"/>
    <w:rsid w:val="006C74FE"/>
    <w:rsid w:val="006D3DBF"/>
    <w:rsid w:val="006D6B5B"/>
    <w:rsid w:val="006E0F0F"/>
    <w:rsid w:val="006E5E55"/>
    <w:rsid w:val="006E6FCC"/>
    <w:rsid w:val="006E741D"/>
    <w:rsid w:val="006F0AA0"/>
    <w:rsid w:val="006F7292"/>
    <w:rsid w:val="006F7672"/>
    <w:rsid w:val="0070026B"/>
    <w:rsid w:val="0070175A"/>
    <w:rsid w:val="0070235E"/>
    <w:rsid w:val="00702E40"/>
    <w:rsid w:val="00705038"/>
    <w:rsid w:val="00707758"/>
    <w:rsid w:val="007079D3"/>
    <w:rsid w:val="00712917"/>
    <w:rsid w:val="00716322"/>
    <w:rsid w:val="00721B3A"/>
    <w:rsid w:val="00722528"/>
    <w:rsid w:val="00722D78"/>
    <w:rsid w:val="00724164"/>
    <w:rsid w:val="00725BA5"/>
    <w:rsid w:val="00727B7E"/>
    <w:rsid w:val="00727ED1"/>
    <w:rsid w:val="00735663"/>
    <w:rsid w:val="00735EB0"/>
    <w:rsid w:val="00741E3D"/>
    <w:rsid w:val="00742DEB"/>
    <w:rsid w:val="00744296"/>
    <w:rsid w:val="00744FF1"/>
    <w:rsid w:val="00747426"/>
    <w:rsid w:val="0076162A"/>
    <w:rsid w:val="00775AB2"/>
    <w:rsid w:val="007769CE"/>
    <w:rsid w:val="007870FD"/>
    <w:rsid w:val="00787B03"/>
    <w:rsid w:val="007900A4"/>
    <w:rsid w:val="007956EE"/>
    <w:rsid w:val="007978F5"/>
    <w:rsid w:val="007A29FF"/>
    <w:rsid w:val="007A35F4"/>
    <w:rsid w:val="007A74CC"/>
    <w:rsid w:val="007B63B4"/>
    <w:rsid w:val="007C24CB"/>
    <w:rsid w:val="007C26C4"/>
    <w:rsid w:val="007C6BBB"/>
    <w:rsid w:val="007C79E3"/>
    <w:rsid w:val="007D4D5A"/>
    <w:rsid w:val="007D555C"/>
    <w:rsid w:val="007D5ED8"/>
    <w:rsid w:val="007D76B9"/>
    <w:rsid w:val="007E33FC"/>
    <w:rsid w:val="007E3DB9"/>
    <w:rsid w:val="007E3FB1"/>
    <w:rsid w:val="007E4606"/>
    <w:rsid w:val="007E5AF9"/>
    <w:rsid w:val="007E5BCE"/>
    <w:rsid w:val="007E5C32"/>
    <w:rsid w:val="007F0196"/>
    <w:rsid w:val="007F497B"/>
    <w:rsid w:val="007F4A9B"/>
    <w:rsid w:val="007F65E1"/>
    <w:rsid w:val="00801B86"/>
    <w:rsid w:val="00812572"/>
    <w:rsid w:val="0081653C"/>
    <w:rsid w:val="00816F1E"/>
    <w:rsid w:val="00820283"/>
    <w:rsid w:val="008209D7"/>
    <w:rsid w:val="00824618"/>
    <w:rsid w:val="00827CF2"/>
    <w:rsid w:val="008304EB"/>
    <w:rsid w:val="008358E7"/>
    <w:rsid w:val="008373C2"/>
    <w:rsid w:val="00837B1B"/>
    <w:rsid w:val="0084191D"/>
    <w:rsid w:val="008509E3"/>
    <w:rsid w:val="00854726"/>
    <w:rsid w:val="008655C6"/>
    <w:rsid w:val="00865BBD"/>
    <w:rsid w:val="00870BAE"/>
    <w:rsid w:val="008758AD"/>
    <w:rsid w:val="0088440F"/>
    <w:rsid w:val="00887B2B"/>
    <w:rsid w:val="008948DF"/>
    <w:rsid w:val="00894937"/>
    <w:rsid w:val="008975A0"/>
    <w:rsid w:val="008A0DD8"/>
    <w:rsid w:val="008A57DB"/>
    <w:rsid w:val="008A748C"/>
    <w:rsid w:val="008B3316"/>
    <w:rsid w:val="008D30E1"/>
    <w:rsid w:val="008D4D0F"/>
    <w:rsid w:val="008D72EE"/>
    <w:rsid w:val="008E1954"/>
    <w:rsid w:val="008E61D5"/>
    <w:rsid w:val="008E67F3"/>
    <w:rsid w:val="008F0444"/>
    <w:rsid w:val="008F31AA"/>
    <w:rsid w:val="008F31FB"/>
    <w:rsid w:val="00901CD4"/>
    <w:rsid w:val="00913042"/>
    <w:rsid w:val="00916F56"/>
    <w:rsid w:val="0092624F"/>
    <w:rsid w:val="00930CD5"/>
    <w:rsid w:val="00930E92"/>
    <w:rsid w:val="00931F87"/>
    <w:rsid w:val="00933B6F"/>
    <w:rsid w:val="009352D4"/>
    <w:rsid w:val="00941FD2"/>
    <w:rsid w:val="00951CC2"/>
    <w:rsid w:val="00953886"/>
    <w:rsid w:val="00961C94"/>
    <w:rsid w:val="00963697"/>
    <w:rsid w:val="00973278"/>
    <w:rsid w:val="00974A3F"/>
    <w:rsid w:val="00975484"/>
    <w:rsid w:val="00980CE3"/>
    <w:rsid w:val="00984938"/>
    <w:rsid w:val="00987962"/>
    <w:rsid w:val="00992DE0"/>
    <w:rsid w:val="009952BD"/>
    <w:rsid w:val="009A018C"/>
    <w:rsid w:val="009A0660"/>
    <w:rsid w:val="009B05A4"/>
    <w:rsid w:val="009B0E25"/>
    <w:rsid w:val="009B475C"/>
    <w:rsid w:val="009C0AAD"/>
    <w:rsid w:val="009C2D3A"/>
    <w:rsid w:val="009D6008"/>
    <w:rsid w:val="009E03BA"/>
    <w:rsid w:val="009E6831"/>
    <w:rsid w:val="009E69BF"/>
    <w:rsid w:val="009F41BA"/>
    <w:rsid w:val="009F45B7"/>
    <w:rsid w:val="009F5167"/>
    <w:rsid w:val="00A0747B"/>
    <w:rsid w:val="00A1244B"/>
    <w:rsid w:val="00A14930"/>
    <w:rsid w:val="00A215B7"/>
    <w:rsid w:val="00A22AB4"/>
    <w:rsid w:val="00A22F16"/>
    <w:rsid w:val="00A24602"/>
    <w:rsid w:val="00A27B92"/>
    <w:rsid w:val="00A36617"/>
    <w:rsid w:val="00A40CD5"/>
    <w:rsid w:val="00A430A1"/>
    <w:rsid w:val="00A4556D"/>
    <w:rsid w:val="00A510B4"/>
    <w:rsid w:val="00A53D00"/>
    <w:rsid w:val="00A63384"/>
    <w:rsid w:val="00A70218"/>
    <w:rsid w:val="00A73E16"/>
    <w:rsid w:val="00A74E4C"/>
    <w:rsid w:val="00A7583C"/>
    <w:rsid w:val="00A77E10"/>
    <w:rsid w:val="00A864E8"/>
    <w:rsid w:val="00A901B3"/>
    <w:rsid w:val="00A90BAB"/>
    <w:rsid w:val="00A950BA"/>
    <w:rsid w:val="00AA18C1"/>
    <w:rsid w:val="00AA286C"/>
    <w:rsid w:val="00AA4722"/>
    <w:rsid w:val="00AB0A68"/>
    <w:rsid w:val="00AB18AF"/>
    <w:rsid w:val="00AB2479"/>
    <w:rsid w:val="00AC0AAE"/>
    <w:rsid w:val="00AC0D92"/>
    <w:rsid w:val="00AC4935"/>
    <w:rsid w:val="00AC624C"/>
    <w:rsid w:val="00AC6B24"/>
    <w:rsid w:val="00AC6EC4"/>
    <w:rsid w:val="00AD3241"/>
    <w:rsid w:val="00AD490C"/>
    <w:rsid w:val="00AE27BB"/>
    <w:rsid w:val="00AE344E"/>
    <w:rsid w:val="00AE3EED"/>
    <w:rsid w:val="00AF0183"/>
    <w:rsid w:val="00AF3DE6"/>
    <w:rsid w:val="00AF702E"/>
    <w:rsid w:val="00B0358D"/>
    <w:rsid w:val="00B1308C"/>
    <w:rsid w:val="00B16E8A"/>
    <w:rsid w:val="00B208A7"/>
    <w:rsid w:val="00B24C72"/>
    <w:rsid w:val="00B25B04"/>
    <w:rsid w:val="00B3050F"/>
    <w:rsid w:val="00B35B4F"/>
    <w:rsid w:val="00B37E6A"/>
    <w:rsid w:val="00B4277B"/>
    <w:rsid w:val="00B4536D"/>
    <w:rsid w:val="00B4555F"/>
    <w:rsid w:val="00B5431F"/>
    <w:rsid w:val="00B62E5F"/>
    <w:rsid w:val="00B648AA"/>
    <w:rsid w:val="00B730CD"/>
    <w:rsid w:val="00B75266"/>
    <w:rsid w:val="00B75336"/>
    <w:rsid w:val="00B9382A"/>
    <w:rsid w:val="00B95388"/>
    <w:rsid w:val="00B96501"/>
    <w:rsid w:val="00B96811"/>
    <w:rsid w:val="00B96893"/>
    <w:rsid w:val="00BA0293"/>
    <w:rsid w:val="00BA3661"/>
    <w:rsid w:val="00BB08A6"/>
    <w:rsid w:val="00BB479F"/>
    <w:rsid w:val="00BC27AF"/>
    <w:rsid w:val="00BC48B4"/>
    <w:rsid w:val="00BC7F28"/>
    <w:rsid w:val="00BD3809"/>
    <w:rsid w:val="00BD62F8"/>
    <w:rsid w:val="00BE16B5"/>
    <w:rsid w:val="00BE66A1"/>
    <w:rsid w:val="00BF3250"/>
    <w:rsid w:val="00BF643A"/>
    <w:rsid w:val="00BF6A03"/>
    <w:rsid w:val="00C02976"/>
    <w:rsid w:val="00C02F72"/>
    <w:rsid w:val="00C05D63"/>
    <w:rsid w:val="00C11418"/>
    <w:rsid w:val="00C16C44"/>
    <w:rsid w:val="00C1792F"/>
    <w:rsid w:val="00C21CE8"/>
    <w:rsid w:val="00C23234"/>
    <w:rsid w:val="00C3146E"/>
    <w:rsid w:val="00C32514"/>
    <w:rsid w:val="00C32631"/>
    <w:rsid w:val="00C330AD"/>
    <w:rsid w:val="00C355C4"/>
    <w:rsid w:val="00C43AE2"/>
    <w:rsid w:val="00C43E50"/>
    <w:rsid w:val="00C45895"/>
    <w:rsid w:val="00C46B09"/>
    <w:rsid w:val="00C5272B"/>
    <w:rsid w:val="00C52D0D"/>
    <w:rsid w:val="00C5320C"/>
    <w:rsid w:val="00C566D0"/>
    <w:rsid w:val="00C57A1E"/>
    <w:rsid w:val="00C626CF"/>
    <w:rsid w:val="00C62D06"/>
    <w:rsid w:val="00C7022D"/>
    <w:rsid w:val="00C74304"/>
    <w:rsid w:val="00C75002"/>
    <w:rsid w:val="00C76B80"/>
    <w:rsid w:val="00C84980"/>
    <w:rsid w:val="00C85EDC"/>
    <w:rsid w:val="00C91CFA"/>
    <w:rsid w:val="00C94219"/>
    <w:rsid w:val="00CA2626"/>
    <w:rsid w:val="00CB43D5"/>
    <w:rsid w:val="00CB66A5"/>
    <w:rsid w:val="00CB7403"/>
    <w:rsid w:val="00CC02C1"/>
    <w:rsid w:val="00CC2E22"/>
    <w:rsid w:val="00CC5E1C"/>
    <w:rsid w:val="00CD0E00"/>
    <w:rsid w:val="00CD2EEF"/>
    <w:rsid w:val="00CD79FE"/>
    <w:rsid w:val="00CE4834"/>
    <w:rsid w:val="00CF031C"/>
    <w:rsid w:val="00CF6642"/>
    <w:rsid w:val="00D02C90"/>
    <w:rsid w:val="00D035F5"/>
    <w:rsid w:val="00D05B2D"/>
    <w:rsid w:val="00D06825"/>
    <w:rsid w:val="00D06BF8"/>
    <w:rsid w:val="00D11853"/>
    <w:rsid w:val="00D13AC9"/>
    <w:rsid w:val="00D17B1A"/>
    <w:rsid w:val="00D20C3B"/>
    <w:rsid w:val="00D24247"/>
    <w:rsid w:val="00D24488"/>
    <w:rsid w:val="00D24CD3"/>
    <w:rsid w:val="00D255AE"/>
    <w:rsid w:val="00D30552"/>
    <w:rsid w:val="00D3273C"/>
    <w:rsid w:val="00D3455C"/>
    <w:rsid w:val="00D36713"/>
    <w:rsid w:val="00D470D8"/>
    <w:rsid w:val="00D523AA"/>
    <w:rsid w:val="00D52D24"/>
    <w:rsid w:val="00D52DF6"/>
    <w:rsid w:val="00D53DBB"/>
    <w:rsid w:val="00D543DB"/>
    <w:rsid w:val="00D55DB5"/>
    <w:rsid w:val="00D573EB"/>
    <w:rsid w:val="00D575D2"/>
    <w:rsid w:val="00D62898"/>
    <w:rsid w:val="00D63488"/>
    <w:rsid w:val="00D719B6"/>
    <w:rsid w:val="00D726E0"/>
    <w:rsid w:val="00D743F2"/>
    <w:rsid w:val="00D7763A"/>
    <w:rsid w:val="00D838FE"/>
    <w:rsid w:val="00D85F36"/>
    <w:rsid w:val="00D870B3"/>
    <w:rsid w:val="00D942B5"/>
    <w:rsid w:val="00D96198"/>
    <w:rsid w:val="00D97694"/>
    <w:rsid w:val="00DA1136"/>
    <w:rsid w:val="00DA3EB8"/>
    <w:rsid w:val="00DA471D"/>
    <w:rsid w:val="00DB66EB"/>
    <w:rsid w:val="00DB7C22"/>
    <w:rsid w:val="00DC01C0"/>
    <w:rsid w:val="00DC2F84"/>
    <w:rsid w:val="00DC367A"/>
    <w:rsid w:val="00DE4536"/>
    <w:rsid w:val="00DE771C"/>
    <w:rsid w:val="00DF1663"/>
    <w:rsid w:val="00DF48EF"/>
    <w:rsid w:val="00DF6FBF"/>
    <w:rsid w:val="00DF7A7C"/>
    <w:rsid w:val="00E00766"/>
    <w:rsid w:val="00E0691A"/>
    <w:rsid w:val="00E073F8"/>
    <w:rsid w:val="00E2369B"/>
    <w:rsid w:val="00E24EED"/>
    <w:rsid w:val="00E331F2"/>
    <w:rsid w:val="00E35ED1"/>
    <w:rsid w:val="00E36647"/>
    <w:rsid w:val="00E420D4"/>
    <w:rsid w:val="00E430BA"/>
    <w:rsid w:val="00E433C1"/>
    <w:rsid w:val="00E4663C"/>
    <w:rsid w:val="00E514E4"/>
    <w:rsid w:val="00E53E84"/>
    <w:rsid w:val="00E57216"/>
    <w:rsid w:val="00E61837"/>
    <w:rsid w:val="00E63217"/>
    <w:rsid w:val="00E64FC3"/>
    <w:rsid w:val="00E6525E"/>
    <w:rsid w:val="00E671F0"/>
    <w:rsid w:val="00E81FB3"/>
    <w:rsid w:val="00E91DFF"/>
    <w:rsid w:val="00E96026"/>
    <w:rsid w:val="00EA0974"/>
    <w:rsid w:val="00EA2BCA"/>
    <w:rsid w:val="00EA5023"/>
    <w:rsid w:val="00EB066B"/>
    <w:rsid w:val="00EB06D2"/>
    <w:rsid w:val="00EB7F40"/>
    <w:rsid w:val="00EC3CD3"/>
    <w:rsid w:val="00ED192D"/>
    <w:rsid w:val="00ED2E72"/>
    <w:rsid w:val="00ED69B5"/>
    <w:rsid w:val="00EE035D"/>
    <w:rsid w:val="00EE3D4F"/>
    <w:rsid w:val="00EF10A3"/>
    <w:rsid w:val="00EF1B0F"/>
    <w:rsid w:val="00EF22D0"/>
    <w:rsid w:val="00F05BC1"/>
    <w:rsid w:val="00F2326C"/>
    <w:rsid w:val="00F32623"/>
    <w:rsid w:val="00F32D74"/>
    <w:rsid w:val="00F3788D"/>
    <w:rsid w:val="00F37E0A"/>
    <w:rsid w:val="00F41339"/>
    <w:rsid w:val="00F41EEE"/>
    <w:rsid w:val="00F47CCF"/>
    <w:rsid w:val="00F50D25"/>
    <w:rsid w:val="00F5196F"/>
    <w:rsid w:val="00F524C3"/>
    <w:rsid w:val="00F52D67"/>
    <w:rsid w:val="00F531AB"/>
    <w:rsid w:val="00F55D25"/>
    <w:rsid w:val="00F57850"/>
    <w:rsid w:val="00F63345"/>
    <w:rsid w:val="00F70AAE"/>
    <w:rsid w:val="00F74F47"/>
    <w:rsid w:val="00F76FC7"/>
    <w:rsid w:val="00F81831"/>
    <w:rsid w:val="00F8509D"/>
    <w:rsid w:val="00F865AA"/>
    <w:rsid w:val="00F91B65"/>
    <w:rsid w:val="00F95FFD"/>
    <w:rsid w:val="00F9761D"/>
    <w:rsid w:val="00FA5EE0"/>
    <w:rsid w:val="00FA611B"/>
    <w:rsid w:val="00FA6AF6"/>
    <w:rsid w:val="00FB1C7B"/>
    <w:rsid w:val="00FB69E3"/>
    <w:rsid w:val="00FB6F8B"/>
    <w:rsid w:val="00FB71A5"/>
    <w:rsid w:val="00FB74C7"/>
    <w:rsid w:val="00FC7555"/>
    <w:rsid w:val="00FC7BB9"/>
    <w:rsid w:val="00FD1612"/>
    <w:rsid w:val="00FD16E1"/>
    <w:rsid w:val="00FD7249"/>
    <w:rsid w:val="00FD7678"/>
    <w:rsid w:val="00FD799B"/>
    <w:rsid w:val="00FE20EB"/>
    <w:rsid w:val="00FE51F7"/>
    <w:rsid w:val="00FE71D0"/>
    <w:rsid w:val="00FF006C"/>
    <w:rsid w:val="00FF3034"/>
    <w:rsid w:val="00FF440D"/>
    <w:rsid w:val="00FF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90A98-04B1-4A02-AD5A-E3DBB3D6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61D5"/>
    <w:pPr>
      <w:outlineLvl w:val="0"/>
    </w:pPr>
    <w:rPr>
      <w:b/>
      <w:sz w:val="28"/>
    </w:rPr>
  </w:style>
  <w:style w:type="paragraph" w:styleId="Heading2">
    <w:name w:val="heading 2"/>
    <w:basedOn w:val="Normal"/>
    <w:next w:val="Normal"/>
    <w:link w:val="Heading2Char"/>
    <w:uiPriority w:val="9"/>
    <w:unhideWhenUsed/>
    <w:qFormat/>
    <w:rsid w:val="008E61D5"/>
    <w:pPr>
      <w:outlineLvl w:val="1"/>
    </w:pPr>
    <w:rPr>
      <w:rFonts w:cs="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0CD"/>
    <w:pPr>
      <w:ind w:left="720"/>
      <w:contextualSpacing/>
    </w:pPr>
  </w:style>
  <w:style w:type="character" w:styleId="Hyperlink">
    <w:name w:val="Hyperlink"/>
    <w:basedOn w:val="DefaultParagraphFont"/>
    <w:uiPriority w:val="99"/>
    <w:unhideWhenUsed/>
    <w:rsid w:val="00254808"/>
    <w:rPr>
      <w:color w:val="0563C1" w:themeColor="hyperlink"/>
      <w:u w:val="single"/>
    </w:rPr>
  </w:style>
  <w:style w:type="table" w:styleId="TableGrid">
    <w:name w:val="Table Grid"/>
    <w:basedOn w:val="TableNormal"/>
    <w:uiPriority w:val="39"/>
    <w:rsid w:val="006D3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E420D4"/>
    <w:rPr>
      <w:rFonts w:ascii="Courier New" w:hAnsi="Courier New" w:cs="Courier New"/>
      <w:b/>
      <w:lang w:val="en-GB"/>
    </w:rPr>
  </w:style>
  <w:style w:type="character" w:customStyle="1" w:styleId="Style1Char">
    <w:name w:val="Style1 Char"/>
    <w:basedOn w:val="DefaultParagraphFont"/>
    <w:link w:val="Style1"/>
    <w:rsid w:val="00E420D4"/>
    <w:rPr>
      <w:rFonts w:ascii="Courier New" w:hAnsi="Courier New" w:cs="Courier New"/>
      <w:b/>
      <w:lang w:val="en-GB"/>
    </w:rPr>
  </w:style>
  <w:style w:type="paragraph" w:styleId="Header">
    <w:name w:val="header"/>
    <w:basedOn w:val="Normal"/>
    <w:link w:val="HeaderChar"/>
    <w:uiPriority w:val="99"/>
    <w:unhideWhenUsed/>
    <w:rsid w:val="00C05D63"/>
    <w:pPr>
      <w:tabs>
        <w:tab w:val="center" w:pos="4680"/>
        <w:tab w:val="right" w:pos="9360"/>
      </w:tabs>
    </w:pPr>
  </w:style>
  <w:style w:type="character" w:customStyle="1" w:styleId="HeaderChar">
    <w:name w:val="Header Char"/>
    <w:basedOn w:val="DefaultParagraphFont"/>
    <w:link w:val="Header"/>
    <w:uiPriority w:val="99"/>
    <w:rsid w:val="00C05D63"/>
  </w:style>
  <w:style w:type="paragraph" w:styleId="Footer">
    <w:name w:val="footer"/>
    <w:basedOn w:val="Normal"/>
    <w:link w:val="FooterChar"/>
    <w:uiPriority w:val="99"/>
    <w:unhideWhenUsed/>
    <w:rsid w:val="00C05D63"/>
    <w:pPr>
      <w:tabs>
        <w:tab w:val="center" w:pos="4680"/>
        <w:tab w:val="right" w:pos="9360"/>
      </w:tabs>
    </w:pPr>
  </w:style>
  <w:style w:type="character" w:customStyle="1" w:styleId="FooterChar">
    <w:name w:val="Footer Char"/>
    <w:basedOn w:val="DefaultParagraphFont"/>
    <w:link w:val="Footer"/>
    <w:uiPriority w:val="99"/>
    <w:rsid w:val="00C05D63"/>
  </w:style>
  <w:style w:type="paragraph" w:styleId="NormalWeb">
    <w:name w:val="Normal (Web)"/>
    <w:basedOn w:val="Normal"/>
    <w:uiPriority w:val="99"/>
    <w:semiHidden/>
    <w:unhideWhenUsed/>
    <w:rsid w:val="00B4536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8E61D5"/>
    <w:rPr>
      <w:b/>
      <w:sz w:val="28"/>
    </w:rPr>
  </w:style>
  <w:style w:type="paragraph" w:styleId="TOCHeading">
    <w:name w:val="TOC Heading"/>
    <w:basedOn w:val="Heading1"/>
    <w:next w:val="Normal"/>
    <w:uiPriority w:val="39"/>
    <w:unhideWhenUsed/>
    <w:qFormat/>
    <w:rsid w:val="005B6D59"/>
    <w:pPr>
      <w:spacing w:line="259" w:lineRule="auto"/>
      <w:outlineLvl w:val="9"/>
    </w:pPr>
  </w:style>
  <w:style w:type="paragraph" w:styleId="NoSpacing">
    <w:name w:val="No Spacing"/>
    <w:uiPriority w:val="1"/>
    <w:qFormat/>
    <w:rsid w:val="00692737"/>
  </w:style>
  <w:style w:type="paragraph" w:styleId="BalloonText">
    <w:name w:val="Balloon Text"/>
    <w:basedOn w:val="Normal"/>
    <w:link w:val="BalloonTextChar"/>
    <w:uiPriority w:val="99"/>
    <w:semiHidden/>
    <w:unhideWhenUsed/>
    <w:rsid w:val="004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C51"/>
    <w:rPr>
      <w:rFonts w:ascii="Segoe UI" w:hAnsi="Segoe UI" w:cs="Segoe UI"/>
      <w:sz w:val="18"/>
      <w:szCs w:val="18"/>
    </w:rPr>
  </w:style>
  <w:style w:type="character" w:customStyle="1" w:styleId="Heading2Char">
    <w:name w:val="Heading 2 Char"/>
    <w:basedOn w:val="DefaultParagraphFont"/>
    <w:link w:val="Heading2"/>
    <w:uiPriority w:val="9"/>
    <w:rsid w:val="008E61D5"/>
    <w:rPr>
      <w:rFonts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62">
      <w:bodyDiv w:val="1"/>
      <w:marLeft w:val="0"/>
      <w:marRight w:val="0"/>
      <w:marTop w:val="0"/>
      <w:marBottom w:val="0"/>
      <w:divBdr>
        <w:top w:val="none" w:sz="0" w:space="0" w:color="auto"/>
        <w:left w:val="none" w:sz="0" w:space="0" w:color="auto"/>
        <w:bottom w:val="none" w:sz="0" w:space="0" w:color="auto"/>
        <w:right w:val="none" w:sz="0" w:space="0" w:color="auto"/>
      </w:divBdr>
    </w:div>
    <w:div w:id="14812914">
      <w:bodyDiv w:val="1"/>
      <w:marLeft w:val="0"/>
      <w:marRight w:val="0"/>
      <w:marTop w:val="0"/>
      <w:marBottom w:val="0"/>
      <w:divBdr>
        <w:top w:val="none" w:sz="0" w:space="0" w:color="auto"/>
        <w:left w:val="none" w:sz="0" w:space="0" w:color="auto"/>
        <w:bottom w:val="none" w:sz="0" w:space="0" w:color="auto"/>
        <w:right w:val="none" w:sz="0" w:space="0" w:color="auto"/>
      </w:divBdr>
    </w:div>
    <w:div w:id="109906926">
      <w:bodyDiv w:val="1"/>
      <w:marLeft w:val="0"/>
      <w:marRight w:val="0"/>
      <w:marTop w:val="0"/>
      <w:marBottom w:val="0"/>
      <w:divBdr>
        <w:top w:val="none" w:sz="0" w:space="0" w:color="auto"/>
        <w:left w:val="none" w:sz="0" w:space="0" w:color="auto"/>
        <w:bottom w:val="none" w:sz="0" w:space="0" w:color="auto"/>
        <w:right w:val="none" w:sz="0" w:space="0" w:color="auto"/>
      </w:divBdr>
    </w:div>
    <w:div w:id="136804859">
      <w:bodyDiv w:val="1"/>
      <w:marLeft w:val="0"/>
      <w:marRight w:val="0"/>
      <w:marTop w:val="0"/>
      <w:marBottom w:val="0"/>
      <w:divBdr>
        <w:top w:val="none" w:sz="0" w:space="0" w:color="auto"/>
        <w:left w:val="none" w:sz="0" w:space="0" w:color="auto"/>
        <w:bottom w:val="none" w:sz="0" w:space="0" w:color="auto"/>
        <w:right w:val="none" w:sz="0" w:space="0" w:color="auto"/>
      </w:divBdr>
    </w:div>
    <w:div w:id="200938773">
      <w:bodyDiv w:val="1"/>
      <w:marLeft w:val="0"/>
      <w:marRight w:val="0"/>
      <w:marTop w:val="0"/>
      <w:marBottom w:val="0"/>
      <w:divBdr>
        <w:top w:val="none" w:sz="0" w:space="0" w:color="auto"/>
        <w:left w:val="none" w:sz="0" w:space="0" w:color="auto"/>
        <w:bottom w:val="none" w:sz="0" w:space="0" w:color="auto"/>
        <w:right w:val="none" w:sz="0" w:space="0" w:color="auto"/>
      </w:divBdr>
    </w:div>
    <w:div w:id="249581795">
      <w:bodyDiv w:val="1"/>
      <w:marLeft w:val="0"/>
      <w:marRight w:val="0"/>
      <w:marTop w:val="0"/>
      <w:marBottom w:val="0"/>
      <w:divBdr>
        <w:top w:val="none" w:sz="0" w:space="0" w:color="auto"/>
        <w:left w:val="none" w:sz="0" w:space="0" w:color="auto"/>
        <w:bottom w:val="none" w:sz="0" w:space="0" w:color="auto"/>
        <w:right w:val="none" w:sz="0" w:space="0" w:color="auto"/>
      </w:divBdr>
    </w:div>
    <w:div w:id="287055411">
      <w:bodyDiv w:val="1"/>
      <w:marLeft w:val="0"/>
      <w:marRight w:val="0"/>
      <w:marTop w:val="0"/>
      <w:marBottom w:val="0"/>
      <w:divBdr>
        <w:top w:val="none" w:sz="0" w:space="0" w:color="auto"/>
        <w:left w:val="none" w:sz="0" w:space="0" w:color="auto"/>
        <w:bottom w:val="none" w:sz="0" w:space="0" w:color="auto"/>
        <w:right w:val="none" w:sz="0" w:space="0" w:color="auto"/>
      </w:divBdr>
      <w:divsChild>
        <w:div w:id="409736044">
          <w:marLeft w:val="547"/>
          <w:marRight w:val="0"/>
          <w:marTop w:val="115"/>
          <w:marBottom w:val="0"/>
          <w:divBdr>
            <w:top w:val="none" w:sz="0" w:space="0" w:color="auto"/>
            <w:left w:val="none" w:sz="0" w:space="0" w:color="auto"/>
            <w:bottom w:val="none" w:sz="0" w:space="0" w:color="auto"/>
            <w:right w:val="none" w:sz="0" w:space="0" w:color="auto"/>
          </w:divBdr>
        </w:div>
        <w:div w:id="1566918345">
          <w:marLeft w:val="547"/>
          <w:marRight w:val="0"/>
          <w:marTop w:val="115"/>
          <w:marBottom w:val="0"/>
          <w:divBdr>
            <w:top w:val="none" w:sz="0" w:space="0" w:color="auto"/>
            <w:left w:val="none" w:sz="0" w:space="0" w:color="auto"/>
            <w:bottom w:val="none" w:sz="0" w:space="0" w:color="auto"/>
            <w:right w:val="none" w:sz="0" w:space="0" w:color="auto"/>
          </w:divBdr>
        </w:div>
        <w:div w:id="151216395">
          <w:marLeft w:val="547"/>
          <w:marRight w:val="0"/>
          <w:marTop w:val="115"/>
          <w:marBottom w:val="0"/>
          <w:divBdr>
            <w:top w:val="none" w:sz="0" w:space="0" w:color="auto"/>
            <w:left w:val="none" w:sz="0" w:space="0" w:color="auto"/>
            <w:bottom w:val="none" w:sz="0" w:space="0" w:color="auto"/>
            <w:right w:val="none" w:sz="0" w:space="0" w:color="auto"/>
          </w:divBdr>
        </w:div>
      </w:divsChild>
    </w:div>
    <w:div w:id="346103164">
      <w:bodyDiv w:val="1"/>
      <w:marLeft w:val="0"/>
      <w:marRight w:val="0"/>
      <w:marTop w:val="0"/>
      <w:marBottom w:val="0"/>
      <w:divBdr>
        <w:top w:val="none" w:sz="0" w:space="0" w:color="auto"/>
        <w:left w:val="none" w:sz="0" w:space="0" w:color="auto"/>
        <w:bottom w:val="none" w:sz="0" w:space="0" w:color="auto"/>
        <w:right w:val="none" w:sz="0" w:space="0" w:color="auto"/>
      </w:divBdr>
    </w:div>
    <w:div w:id="369234495">
      <w:bodyDiv w:val="1"/>
      <w:marLeft w:val="0"/>
      <w:marRight w:val="0"/>
      <w:marTop w:val="0"/>
      <w:marBottom w:val="0"/>
      <w:divBdr>
        <w:top w:val="none" w:sz="0" w:space="0" w:color="auto"/>
        <w:left w:val="none" w:sz="0" w:space="0" w:color="auto"/>
        <w:bottom w:val="none" w:sz="0" w:space="0" w:color="auto"/>
        <w:right w:val="none" w:sz="0" w:space="0" w:color="auto"/>
      </w:divBdr>
    </w:div>
    <w:div w:id="463743696">
      <w:bodyDiv w:val="1"/>
      <w:marLeft w:val="0"/>
      <w:marRight w:val="0"/>
      <w:marTop w:val="0"/>
      <w:marBottom w:val="0"/>
      <w:divBdr>
        <w:top w:val="none" w:sz="0" w:space="0" w:color="auto"/>
        <w:left w:val="none" w:sz="0" w:space="0" w:color="auto"/>
        <w:bottom w:val="none" w:sz="0" w:space="0" w:color="auto"/>
        <w:right w:val="none" w:sz="0" w:space="0" w:color="auto"/>
      </w:divBdr>
    </w:div>
    <w:div w:id="464664382">
      <w:bodyDiv w:val="1"/>
      <w:marLeft w:val="0"/>
      <w:marRight w:val="0"/>
      <w:marTop w:val="0"/>
      <w:marBottom w:val="0"/>
      <w:divBdr>
        <w:top w:val="none" w:sz="0" w:space="0" w:color="auto"/>
        <w:left w:val="none" w:sz="0" w:space="0" w:color="auto"/>
        <w:bottom w:val="none" w:sz="0" w:space="0" w:color="auto"/>
        <w:right w:val="none" w:sz="0" w:space="0" w:color="auto"/>
      </w:divBdr>
    </w:div>
    <w:div w:id="627589808">
      <w:bodyDiv w:val="1"/>
      <w:marLeft w:val="0"/>
      <w:marRight w:val="0"/>
      <w:marTop w:val="0"/>
      <w:marBottom w:val="0"/>
      <w:divBdr>
        <w:top w:val="none" w:sz="0" w:space="0" w:color="auto"/>
        <w:left w:val="none" w:sz="0" w:space="0" w:color="auto"/>
        <w:bottom w:val="none" w:sz="0" w:space="0" w:color="auto"/>
        <w:right w:val="none" w:sz="0" w:space="0" w:color="auto"/>
      </w:divBdr>
      <w:divsChild>
        <w:div w:id="1223714178">
          <w:marLeft w:val="547"/>
          <w:marRight w:val="0"/>
          <w:marTop w:val="115"/>
          <w:marBottom w:val="0"/>
          <w:divBdr>
            <w:top w:val="none" w:sz="0" w:space="0" w:color="auto"/>
            <w:left w:val="none" w:sz="0" w:space="0" w:color="auto"/>
            <w:bottom w:val="none" w:sz="0" w:space="0" w:color="auto"/>
            <w:right w:val="none" w:sz="0" w:space="0" w:color="auto"/>
          </w:divBdr>
        </w:div>
        <w:div w:id="1672833616">
          <w:marLeft w:val="547"/>
          <w:marRight w:val="0"/>
          <w:marTop w:val="115"/>
          <w:marBottom w:val="0"/>
          <w:divBdr>
            <w:top w:val="none" w:sz="0" w:space="0" w:color="auto"/>
            <w:left w:val="none" w:sz="0" w:space="0" w:color="auto"/>
            <w:bottom w:val="none" w:sz="0" w:space="0" w:color="auto"/>
            <w:right w:val="none" w:sz="0" w:space="0" w:color="auto"/>
          </w:divBdr>
        </w:div>
      </w:divsChild>
    </w:div>
    <w:div w:id="633607874">
      <w:bodyDiv w:val="1"/>
      <w:marLeft w:val="0"/>
      <w:marRight w:val="0"/>
      <w:marTop w:val="0"/>
      <w:marBottom w:val="0"/>
      <w:divBdr>
        <w:top w:val="none" w:sz="0" w:space="0" w:color="auto"/>
        <w:left w:val="none" w:sz="0" w:space="0" w:color="auto"/>
        <w:bottom w:val="none" w:sz="0" w:space="0" w:color="auto"/>
        <w:right w:val="none" w:sz="0" w:space="0" w:color="auto"/>
      </w:divBdr>
    </w:div>
    <w:div w:id="749813633">
      <w:bodyDiv w:val="1"/>
      <w:marLeft w:val="0"/>
      <w:marRight w:val="0"/>
      <w:marTop w:val="0"/>
      <w:marBottom w:val="0"/>
      <w:divBdr>
        <w:top w:val="none" w:sz="0" w:space="0" w:color="auto"/>
        <w:left w:val="none" w:sz="0" w:space="0" w:color="auto"/>
        <w:bottom w:val="none" w:sz="0" w:space="0" w:color="auto"/>
        <w:right w:val="none" w:sz="0" w:space="0" w:color="auto"/>
      </w:divBdr>
    </w:div>
    <w:div w:id="802235949">
      <w:bodyDiv w:val="1"/>
      <w:marLeft w:val="0"/>
      <w:marRight w:val="0"/>
      <w:marTop w:val="0"/>
      <w:marBottom w:val="0"/>
      <w:divBdr>
        <w:top w:val="none" w:sz="0" w:space="0" w:color="auto"/>
        <w:left w:val="none" w:sz="0" w:space="0" w:color="auto"/>
        <w:bottom w:val="none" w:sz="0" w:space="0" w:color="auto"/>
        <w:right w:val="none" w:sz="0" w:space="0" w:color="auto"/>
      </w:divBdr>
    </w:div>
    <w:div w:id="823544387">
      <w:bodyDiv w:val="1"/>
      <w:marLeft w:val="0"/>
      <w:marRight w:val="0"/>
      <w:marTop w:val="0"/>
      <w:marBottom w:val="0"/>
      <w:divBdr>
        <w:top w:val="none" w:sz="0" w:space="0" w:color="auto"/>
        <w:left w:val="none" w:sz="0" w:space="0" w:color="auto"/>
        <w:bottom w:val="none" w:sz="0" w:space="0" w:color="auto"/>
        <w:right w:val="none" w:sz="0" w:space="0" w:color="auto"/>
      </w:divBdr>
    </w:div>
    <w:div w:id="937104321">
      <w:bodyDiv w:val="1"/>
      <w:marLeft w:val="0"/>
      <w:marRight w:val="0"/>
      <w:marTop w:val="0"/>
      <w:marBottom w:val="0"/>
      <w:divBdr>
        <w:top w:val="none" w:sz="0" w:space="0" w:color="auto"/>
        <w:left w:val="none" w:sz="0" w:space="0" w:color="auto"/>
        <w:bottom w:val="none" w:sz="0" w:space="0" w:color="auto"/>
        <w:right w:val="none" w:sz="0" w:space="0" w:color="auto"/>
      </w:divBdr>
    </w:div>
    <w:div w:id="965621030">
      <w:bodyDiv w:val="1"/>
      <w:marLeft w:val="0"/>
      <w:marRight w:val="0"/>
      <w:marTop w:val="0"/>
      <w:marBottom w:val="0"/>
      <w:divBdr>
        <w:top w:val="none" w:sz="0" w:space="0" w:color="auto"/>
        <w:left w:val="none" w:sz="0" w:space="0" w:color="auto"/>
        <w:bottom w:val="none" w:sz="0" w:space="0" w:color="auto"/>
        <w:right w:val="none" w:sz="0" w:space="0" w:color="auto"/>
      </w:divBdr>
    </w:div>
    <w:div w:id="1030692625">
      <w:bodyDiv w:val="1"/>
      <w:marLeft w:val="0"/>
      <w:marRight w:val="0"/>
      <w:marTop w:val="0"/>
      <w:marBottom w:val="0"/>
      <w:divBdr>
        <w:top w:val="none" w:sz="0" w:space="0" w:color="auto"/>
        <w:left w:val="none" w:sz="0" w:space="0" w:color="auto"/>
        <w:bottom w:val="none" w:sz="0" w:space="0" w:color="auto"/>
        <w:right w:val="none" w:sz="0" w:space="0" w:color="auto"/>
      </w:divBdr>
    </w:div>
    <w:div w:id="1074471095">
      <w:bodyDiv w:val="1"/>
      <w:marLeft w:val="0"/>
      <w:marRight w:val="0"/>
      <w:marTop w:val="0"/>
      <w:marBottom w:val="0"/>
      <w:divBdr>
        <w:top w:val="none" w:sz="0" w:space="0" w:color="auto"/>
        <w:left w:val="none" w:sz="0" w:space="0" w:color="auto"/>
        <w:bottom w:val="none" w:sz="0" w:space="0" w:color="auto"/>
        <w:right w:val="none" w:sz="0" w:space="0" w:color="auto"/>
      </w:divBdr>
    </w:div>
    <w:div w:id="1256788157">
      <w:bodyDiv w:val="1"/>
      <w:marLeft w:val="0"/>
      <w:marRight w:val="0"/>
      <w:marTop w:val="0"/>
      <w:marBottom w:val="0"/>
      <w:divBdr>
        <w:top w:val="none" w:sz="0" w:space="0" w:color="auto"/>
        <w:left w:val="none" w:sz="0" w:space="0" w:color="auto"/>
        <w:bottom w:val="none" w:sz="0" w:space="0" w:color="auto"/>
        <w:right w:val="none" w:sz="0" w:space="0" w:color="auto"/>
      </w:divBdr>
    </w:div>
    <w:div w:id="1271477522">
      <w:bodyDiv w:val="1"/>
      <w:marLeft w:val="0"/>
      <w:marRight w:val="0"/>
      <w:marTop w:val="0"/>
      <w:marBottom w:val="0"/>
      <w:divBdr>
        <w:top w:val="none" w:sz="0" w:space="0" w:color="auto"/>
        <w:left w:val="none" w:sz="0" w:space="0" w:color="auto"/>
        <w:bottom w:val="none" w:sz="0" w:space="0" w:color="auto"/>
        <w:right w:val="none" w:sz="0" w:space="0" w:color="auto"/>
      </w:divBdr>
    </w:div>
    <w:div w:id="1327510013">
      <w:bodyDiv w:val="1"/>
      <w:marLeft w:val="0"/>
      <w:marRight w:val="0"/>
      <w:marTop w:val="0"/>
      <w:marBottom w:val="0"/>
      <w:divBdr>
        <w:top w:val="none" w:sz="0" w:space="0" w:color="auto"/>
        <w:left w:val="none" w:sz="0" w:space="0" w:color="auto"/>
        <w:bottom w:val="none" w:sz="0" w:space="0" w:color="auto"/>
        <w:right w:val="none" w:sz="0" w:space="0" w:color="auto"/>
      </w:divBdr>
    </w:div>
    <w:div w:id="1511682504">
      <w:bodyDiv w:val="1"/>
      <w:marLeft w:val="0"/>
      <w:marRight w:val="0"/>
      <w:marTop w:val="0"/>
      <w:marBottom w:val="0"/>
      <w:divBdr>
        <w:top w:val="none" w:sz="0" w:space="0" w:color="auto"/>
        <w:left w:val="none" w:sz="0" w:space="0" w:color="auto"/>
        <w:bottom w:val="none" w:sz="0" w:space="0" w:color="auto"/>
        <w:right w:val="none" w:sz="0" w:space="0" w:color="auto"/>
      </w:divBdr>
    </w:div>
    <w:div w:id="1512455714">
      <w:bodyDiv w:val="1"/>
      <w:marLeft w:val="0"/>
      <w:marRight w:val="0"/>
      <w:marTop w:val="0"/>
      <w:marBottom w:val="0"/>
      <w:divBdr>
        <w:top w:val="none" w:sz="0" w:space="0" w:color="auto"/>
        <w:left w:val="none" w:sz="0" w:space="0" w:color="auto"/>
        <w:bottom w:val="none" w:sz="0" w:space="0" w:color="auto"/>
        <w:right w:val="none" w:sz="0" w:space="0" w:color="auto"/>
      </w:divBdr>
    </w:div>
    <w:div w:id="1558471567">
      <w:bodyDiv w:val="1"/>
      <w:marLeft w:val="0"/>
      <w:marRight w:val="0"/>
      <w:marTop w:val="0"/>
      <w:marBottom w:val="0"/>
      <w:divBdr>
        <w:top w:val="none" w:sz="0" w:space="0" w:color="auto"/>
        <w:left w:val="none" w:sz="0" w:space="0" w:color="auto"/>
        <w:bottom w:val="none" w:sz="0" w:space="0" w:color="auto"/>
        <w:right w:val="none" w:sz="0" w:space="0" w:color="auto"/>
      </w:divBdr>
    </w:div>
    <w:div w:id="1574663062">
      <w:bodyDiv w:val="1"/>
      <w:marLeft w:val="0"/>
      <w:marRight w:val="0"/>
      <w:marTop w:val="0"/>
      <w:marBottom w:val="0"/>
      <w:divBdr>
        <w:top w:val="none" w:sz="0" w:space="0" w:color="auto"/>
        <w:left w:val="none" w:sz="0" w:space="0" w:color="auto"/>
        <w:bottom w:val="none" w:sz="0" w:space="0" w:color="auto"/>
        <w:right w:val="none" w:sz="0" w:space="0" w:color="auto"/>
      </w:divBdr>
    </w:div>
    <w:div w:id="1700542866">
      <w:bodyDiv w:val="1"/>
      <w:marLeft w:val="0"/>
      <w:marRight w:val="0"/>
      <w:marTop w:val="0"/>
      <w:marBottom w:val="0"/>
      <w:divBdr>
        <w:top w:val="none" w:sz="0" w:space="0" w:color="auto"/>
        <w:left w:val="none" w:sz="0" w:space="0" w:color="auto"/>
        <w:bottom w:val="none" w:sz="0" w:space="0" w:color="auto"/>
        <w:right w:val="none" w:sz="0" w:space="0" w:color="auto"/>
      </w:divBdr>
    </w:div>
    <w:div w:id="1777676615">
      <w:bodyDiv w:val="1"/>
      <w:marLeft w:val="0"/>
      <w:marRight w:val="0"/>
      <w:marTop w:val="0"/>
      <w:marBottom w:val="0"/>
      <w:divBdr>
        <w:top w:val="none" w:sz="0" w:space="0" w:color="auto"/>
        <w:left w:val="none" w:sz="0" w:space="0" w:color="auto"/>
        <w:bottom w:val="none" w:sz="0" w:space="0" w:color="auto"/>
        <w:right w:val="none" w:sz="0" w:space="0" w:color="auto"/>
      </w:divBdr>
    </w:div>
    <w:div w:id="1778982157">
      <w:bodyDiv w:val="1"/>
      <w:marLeft w:val="0"/>
      <w:marRight w:val="0"/>
      <w:marTop w:val="0"/>
      <w:marBottom w:val="0"/>
      <w:divBdr>
        <w:top w:val="none" w:sz="0" w:space="0" w:color="auto"/>
        <w:left w:val="none" w:sz="0" w:space="0" w:color="auto"/>
        <w:bottom w:val="none" w:sz="0" w:space="0" w:color="auto"/>
        <w:right w:val="none" w:sz="0" w:space="0" w:color="auto"/>
      </w:divBdr>
    </w:div>
    <w:div w:id="1939410501">
      <w:bodyDiv w:val="1"/>
      <w:marLeft w:val="0"/>
      <w:marRight w:val="0"/>
      <w:marTop w:val="0"/>
      <w:marBottom w:val="0"/>
      <w:divBdr>
        <w:top w:val="none" w:sz="0" w:space="0" w:color="auto"/>
        <w:left w:val="none" w:sz="0" w:space="0" w:color="auto"/>
        <w:bottom w:val="none" w:sz="0" w:space="0" w:color="auto"/>
        <w:right w:val="none" w:sz="0" w:space="0" w:color="auto"/>
      </w:divBdr>
    </w:div>
    <w:div w:id="1948611504">
      <w:bodyDiv w:val="1"/>
      <w:marLeft w:val="0"/>
      <w:marRight w:val="0"/>
      <w:marTop w:val="0"/>
      <w:marBottom w:val="0"/>
      <w:divBdr>
        <w:top w:val="none" w:sz="0" w:space="0" w:color="auto"/>
        <w:left w:val="none" w:sz="0" w:space="0" w:color="auto"/>
        <w:bottom w:val="none" w:sz="0" w:space="0" w:color="auto"/>
        <w:right w:val="none" w:sz="0" w:space="0" w:color="auto"/>
      </w:divBdr>
    </w:div>
    <w:div w:id="2003003162">
      <w:bodyDiv w:val="1"/>
      <w:marLeft w:val="0"/>
      <w:marRight w:val="0"/>
      <w:marTop w:val="0"/>
      <w:marBottom w:val="0"/>
      <w:divBdr>
        <w:top w:val="none" w:sz="0" w:space="0" w:color="auto"/>
        <w:left w:val="none" w:sz="0" w:space="0" w:color="auto"/>
        <w:bottom w:val="none" w:sz="0" w:space="0" w:color="auto"/>
        <w:right w:val="none" w:sz="0" w:space="0" w:color="auto"/>
      </w:divBdr>
    </w:div>
    <w:div w:id="2004431978">
      <w:bodyDiv w:val="1"/>
      <w:marLeft w:val="0"/>
      <w:marRight w:val="0"/>
      <w:marTop w:val="0"/>
      <w:marBottom w:val="0"/>
      <w:divBdr>
        <w:top w:val="none" w:sz="0" w:space="0" w:color="auto"/>
        <w:left w:val="none" w:sz="0" w:space="0" w:color="auto"/>
        <w:bottom w:val="none" w:sz="0" w:space="0" w:color="auto"/>
        <w:right w:val="none" w:sz="0" w:space="0" w:color="auto"/>
      </w:divBdr>
    </w:div>
    <w:div w:id="2038697004">
      <w:bodyDiv w:val="1"/>
      <w:marLeft w:val="0"/>
      <w:marRight w:val="0"/>
      <w:marTop w:val="0"/>
      <w:marBottom w:val="0"/>
      <w:divBdr>
        <w:top w:val="none" w:sz="0" w:space="0" w:color="auto"/>
        <w:left w:val="none" w:sz="0" w:space="0" w:color="auto"/>
        <w:bottom w:val="none" w:sz="0" w:space="0" w:color="auto"/>
        <w:right w:val="none" w:sz="0" w:space="0" w:color="auto"/>
      </w:divBdr>
    </w:div>
    <w:div w:id="2049991187">
      <w:bodyDiv w:val="1"/>
      <w:marLeft w:val="0"/>
      <w:marRight w:val="0"/>
      <w:marTop w:val="0"/>
      <w:marBottom w:val="0"/>
      <w:divBdr>
        <w:top w:val="none" w:sz="0" w:space="0" w:color="auto"/>
        <w:left w:val="none" w:sz="0" w:space="0" w:color="auto"/>
        <w:bottom w:val="none" w:sz="0" w:space="0" w:color="auto"/>
        <w:right w:val="none" w:sz="0" w:space="0" w:color="auto"/>
      </w:divBdr>
    </w:div>
    <w:div w:id="20699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929A641E-AD00-4CA8-A560-9B20939D4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2018 DDP Template User Manual</vt:lpstr>
    </vt:vector>
  </TitlesOfParts>
  <Company>Energy Regulatory Commission</Company>
  <LinksUpToDate>false</LinksUpToDate>
  <CharactersWithSpaces>3421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DDP Template User Manual</dc:title>
  <dc:subject/>
  <dc:creator>Joshua P. Fernandez</dc:creator>
  <cp:keywords/>
  <dc:description/>
  <cp:lastModifiedBy>Joshua Fernandez</cp:lastModifiedBy>
  <cp:revision>2</cp:revision>
  <cp:lastPrinted>2019-12-11T03:32:00Z</cp:lastPrinted>
  <dcterms:created xsi:type="dcterms:W3CDTF">2019-12-11T03:55:00Z</dcterms:created>
  <dcterms:modified xsi:type="dcterms:W3CDTF">2019-12-11T03:55:00Z</dcterms:modified>
</cp:coreProperties>
</file>